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B18EE">
      <w:pPr>
        <w:pStyle w:val="4"/>
        <w:jc w:val="center"/>
        <w:outlineLvl w:val="2"/>
        <w:rPr>
          <w:rFonts w:hint="eastAsia" w:ascii="仿宋_GB2312" w:hAnsi="仿宋_GB2312" w:eastAsia="仿宋_GB2312" w:cs="仿宋_GB2312"/>
          <w:b/>
          <w:sz w:val="28"/>
          <w:highlight w:val="none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28"/>
          <w:highlight w:val="none"/>
          <w:lang w:val="en-US" w:eastAsia="zh-CN"/>
        </w:rPr>
        <w:t>采购需求</w:t>
      </w:r>
    </w:p>
    <w:bookmarkEnd w:id="0"/>
    <w:p w14:paraId="2241B049">
      <w:pPr>
        <w:pStyle w:val="4"/>
        <w:outlineLvl w:val="2"/>
        <w:rPr>
          <w:rFonts w:ascii="仿宋_GB2312" w:hAnsi="仿宋_GB2312" w:eastAsia="仿宋_GB2312" w:cs="仿宋_GB2312"/>
          <w:b/>
          <w:sz w:val="28"/>
          <w:highlight w:val="none"/>
        </w:rPr>
      </w:pPr>
      <w:r>
        <w:rPr>
          <w:rFonts w:ascii="仿宋_GB2312" w:hAnsi="仿宋_GB2312" w:eastAsia="仿宋_GB2312" w:cs="仿宋_GB2312"/>
          <w:b/>
          <w:sz w:val="28"/>
          <w:highlight w:val="none"/>
        </w:rPr>
        <w:t>3.1采购项目概况</w:t>
      </w:r>
    </w:p>
    <w:p w14:paraId="7EE93081">
      <w:pPr>
        <w:pStyle w:val="4"/>
        <w:ind w:firstLine="480"/>
        <w:rPr>
          <w:rFonts w:ascii="仿宋_GB2312" w:hAnsi="仿宋_GB2312" w:eastAsia="仿宋_GB2312" w:cs="仿宋_GB2312"/>
          <w:b/>
          <w:sz w:val="28"/>
          <w:highlight w:val="none"/>
        </w:rPr>
      </w:pPr>
      <w:r>
        <w:rPr>
          <w:rFonts w:ascii="仿宋_GB2312" w:hAnsi="仿宋_GB2312" w:eastAsia="仿宋_GB2312" w:cs="仿宋_GB2312"/>
          <w:highlight w:val="none"/>
        </w:rPr>
        <w:t>本项目共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1</w:t>
      </w:r>
      <w:r>
        <w:rPr>
          <w:rFonts w:ascii="仿宋_GB2312" w:hAnsi="仿宋_GB2312" w:eastAsia="仿宋_GB2312" w:cs="仿宋_GB2312"/>
          <w:highlight w:val="none"/>
        </w:rPr>
        <w:t>个包，拟选择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农作物病虫害防控</w:t>
      </w:r>
      <w:r>
        <w:rPr>
          <w:rFonts w:ascii="仿宋_GB2312" w:hAnsi="仿宋_GB2312" w:eastAsia="仿宋_GB2312" w:cs="仿宋_GB2312"/>
          <w:highlight w:val="none"/>
        </w:rPr>
        <w:t>单位一名；（具体详见磋商文件）； 项目用途：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农作物病虫害防控</w:t>
      </w:r>
      <w:r>
        <w:rPr>
          <w:rFonts w:ascii="仿宋_GB2312" w:hAnsi="仿宋_GB2312" w:eastAsia="仿宋_GB2312" w:cs="仿宋_GB2312"/>
          <w:highlight w:val="none"/>
        </w:rPr>
        <w:t>； 采购预算：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450000</w:t>
      </w:r>
      <w:r>
        <w:rPr>
          <w:rFonts w:ascii="仿宋_GB2312" w:hAnsi="仿宋_GB2312" w:eastAsia="仿宋_GB2312" w:cs="仿宋_GB2312"/>
          <w:highlight w:val="none"/>
        </w:rPr>
        <w:t>元；</w:t>
      </w:r>
    </w:p>
    <w:p w14:paraId="58CE6F7B">
      <w:pPr>
        <w:pStyle w:val="4"/>
        <w:outlineLvl w:val="2"/>
        <w:rPr>
          <w:highlight w:val="none"/>
        </w:rPr>
      </w:pPr>
      <w:r>
        <w:rPr>
          <w:rFonts w:ascii="仿宋_GB2312" w:hAnsi="仿宋_GB2312" w:eastAsia="仿宋_GB2312" w:cs="仿宋_GB2312"/>
          <w:b/>
          <w:sz w:val="28"/>
          <w:highlight w:val="none"/>
        </w:rPr>
        <w:t>3.2服务内容及服务要求</w:t>
      </w:r>
    </w:p>
    <w:p w14:paraId="7D6A6C3D">
      <w:pPr>
        <w:pStyle w:val="4"/>
        <w:outlineLvl w:val="3"/>
        <w:rPr>
          <w:highlight w:val="none"/>
        </w:rPr>
      </w:pPr>
      <w:r>
        <w:rPr>
          <w:rFonts w:ascii="仿宋_GB2312" w:hAnsi="仿宋_GB2312" w:eastAsia="仿宋_GB2312" w:cs="仿宋_GB2312"/>
          <w:b/>
          <w:sz w:val="24"/>
          <w:highlight w:val="none"/>
        </w:rPr>
        <w:t>3.2.1服务内容</w:t>
      </w:r>
    </w:p>
    <w:p w14:paraId="685A5AF2">
      <w:pPr>
        <w:pStyle w:val="4"/>
        <w:rPr>
          <w:highlight w:val="none"/>
        </w:rPr>
      </w:pPr>
      <w:r>
        <w:rPr>
          <w:rFonts w:ascii="仿宋_GB2312" w:hAnsi="仿宋_GB2312" w:eastAsia="仿宋_GB2312" w:cs="仿宋_GB2312"/>
          <w:highlight w:val="none"/>
        </w:rPr>
        <w:t>采购包1：</w:t>
      </w:r>
    </w:p>
    <w:p w14:paraId="12A67CAC">
      <w:pPr>
        <w:pStyle w:val="4"/>
        <w:rPr>
          <w:rFonts w:hint="eastAsia" w:eastAsia="仿宋_GB2312"/>
          <w:highlight w:val="none"/>
          <w:lang w:eastAsia="zh-CN"/>
        </w:rPr>
      </w:pPr>
      <w:r>
        <w:rPr>
          <w:rFonts w:ascii="仿宋_GB2312" w:hAnsi="仿宋_GB2312" w:eastAsia="仿宋_GB2312" w:cs="仿宋_GB2312"/>
          <w:highlight w:val="none"/>
        </w:rPr>
        <w:t xml:space="preserve">采购包预算金额（元）: 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450000</w:t>
      </w:r>
      <w:r>
        <w:rPr>
          <w:rFonts w:hint="eastAsia" w:ascii="仿宋_GB2312" w:hAnsi="仿宋_GB2312" w:eastAsia="仿宋_GB2312" w:cs="仿宋_GB2312"/>
          <w:highlight w:val="none"/>
          <w:lang w:eastAsia="zh-CN"/>
        </w:rPr>
        <w:t>.00</w:t>
      </w:r>
    </w:p>
    <w:p w14:paraId="536B7BDB">
      <w:pPr>
        <w:pStyle w:val="4"/>
        <w:rPr>
          <w:rFonts w:hint="eastAsia" w:eastAsia="仿宋_GB2312"/>
          <w:highlight w:val="none"/>
          <w:lang w:eastAsia="zh-CN"/>
        </w:rPr>
      </w:pPr>
      <w:r>
        <w:rPr>
          <w:rFonts w:ascii="仿宋_GB2312" w:hAnsi="仿宋_GB2312" w:eastAsia="仿宋_GB2312" w:cs="仿宋_GB2312"/>
          <w:highlight w:val="none"/>
        </w:rPr>
        <w:t xml:space="preserve">采购包最高限价（元）: </w:t>
      </w:r>
      <w:r>
        <w:rPr>
          <w:rFonts w:hint="eastAsia" w:ascii="仿宋_GB2312" w:hAnsi="仿宋_GB2312" w:eastAsia="仿宋_GB2312" w:cs="仿宋_GB2312"/>
          <w:highlight w:val="none"/>
          <w:lang w:val="en-US" w:eastAsia="zh-CN"/>
        </w:rPr>
        <w:t>450000</w:t>
      </w:r>
      <w:r>
        <w:rPr>
          <w:rFonts w:hint="eastAsia" w:ascii="仿宋_GB2312" w:hAnsi="仿宋_GB2312" w:eastAsia="仿宋_GB2312" w:cs="仿宋_GB2312"/>
          <w:highlight w:val="none"/>
          <w:lang w:eastAsia="zh-CN"/>
        </w:rPr>
        <w:t>.00</w:t>
      </w:r>
    </w:p>
    <w:p w14:paraId="42F8F54F">
      <w:pPr>
        <w:pStyle w:val="4"/>
        <w:rPr>
          <w:highlight w:val="none"/>
        </w:rPr>
      </w:pPr>
      <w:r>
        <w:rPr>
          <w:rFonts w:ascii="仿宋_GB2312" w:hAnsi="仿宋_GB2312" w:eastAsia="仿宋_GB2312" w:cs="仿宋_GB2312"/>
          <w:highlight w:val="none"/>
        </w:rPr>
        <w:t>供应商报价不允许超过标的金额</w:t>
      </w:r>
    </w:p>
    <w:p w14:paraId="014D99EF">
      <w:pPr>
        <w:pStyle w:val="4"/>
        <w:rPr>
          <w:highlight w:val="none"/>
        </w:rPr>
      </w:pPr>
      <w:r>
        <w:rPr>
          <w:rFonts w:ascii="仿宋_GB2312" w:hAnsi="仿宋_GB2312" w:eastAsia="仿宋_GB2312" w:cs="仿宋_GB2312"/>
          <w:highlight w:val="none"/>
        </w:rPr>
        <w:t>（招单价的）供应商报价不允许超过标的单价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822"/>
        <w:gridCol w:w="826"/>
        <w:gridCol w:w="1116"/>
        <w:gridCol w:w="822"/>
        <w:gridCol w:w="826"/>
        <w:gridCol w:w="822"/>
        <w:gridCol w:w="822"/>
        <w:gridCol w:w="822"/>
        <w:gridCol w:w="822"/>
      </w:tblGrid>
      <w:tr w14:paraId="02EF7B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 w14:paraId="6FE9C16A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序号</w:t>
            </w:r>
          </w:p>
        </w:tc>
        <w:tc>
          <w:tcPr>
            <w:tcW w:w="831" w:type="dxa"/>
          </w:tcPr>
          <w:p w14:paraId="664F2B08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标的名称</w:t>
            </w:r>
          </w:p>
        </w:tc>
        <w:tc>
          <w:tcPr>
            <w:tcW w:w="831" w:type="dxa"/>
          </w:tcPr>
          <w:p w14:paraId="78BFFEE0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数量</w:t>
            </w:r>
          </w:p>
        </w:tc>
        <w:tc>
          <w:tcPr>
            <w:tcW w:w="831" w:type="dxa"/>
          </w:tcPr>
          <w:p w14:paraId="4127DF7D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标的金额 （元）</w:t>
            </w:r>
          </w:p>
        </w:tc>
        <w:tc>
          <w:tcPr>
            <w:tcW w:w="831" w:type="dxa"/>
          </w:tcPr>
          <w:p w14:paraId="4C444DA6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计量单位</w:t>
            </w:r>
          </w:p>
        </w:tc>
        <w:tc>
          <w:tcPr>
            <w:tcW w:w="831" w:type="dxa"/>
          </w:tcPr>
          <w:p w14:paraId="6EF6B183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所属行业</w:t>
            </w:r>
          </w:p>
        </w:tc>
        <w:tc>
          <w:tcPr>
            <w:tcW w:w="831" w:type="dxa"/>
          </w:tcPr>
          <w:p w14:paraId="35F4BDF1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是否核心产品</w:t>
            </w:r>
          </w:p>
        </w:tc>
        <w:tc>
          <w:tcPr>
            <w:tcW w:w="831" w:type="dxa"/>
          </w:tcPr>
          <w:p w14:paraId="4D99B35A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是否允许进口产品</w:t>
            </w:r>
          </w:p>
        </w:tc>
        <w:tc>
          <w:tcPr>
            <w:tcW w:w="831" w:type="dxa"/>
          </w:tcPr>
          <w:p w14:paraId="50C588EE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是否属于节能产品</w:t>
            </w:r>
          </w:p>
        </w:tc>
        <w:tc>
          <w:tcPr>
            <w:tcW w:w="831" w:type="dxa"/>
          </w:tcPr>
          <w:p w14:paraId="7241960D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是否属于环境标志产品</w:t>
            </w:r>
          </w:p>
        </w:tc>
      </w:tr>
      <w:tr w14:paraId="7796DCE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831" w:type="dxa"/>
          </w:tcPr>
          <w:p w14:paraId="3E958508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1</w:t>
            </w:r>
          </w:p>
        </w:tc>
        <w:tc>
          <w:tcPr>
            <w:tcW w:w="831" w:type="dxa"/>
          </w:tcPr>
          <w:p w14:paraId="36BF4915">
            <w:pPr>
              <w:pStyle w:val="4"/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农作物病虫害防控</w:t>
            </w:r>
          </w:p>
        </w:tc>
        <w:tc>
          <w:tcPr>
            <w:tcW w:w="831" w:type="dxa"/>
          </w:tcPr>
          <w:p w14:paraId="66A15B75">
            <w:pPr>
              <w:pStyle w:val="4"/>
              <w:jc w:val="right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1.00</w:t>
            </w:r>
          </w:p>
        </w:tc>
        <w:tc>
          <w:tcPr>
            <w:tcW w:w="831" w:type="dxa"/>
          </w:tcPr>
          <w:p w14:paraId="23AAD206">
            <w:pPr>
              <w:pStyle w:val="4"/>
              <w:jc w:val="right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450000</w:t>
            </w: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.00</w:t>
            </w:r>
          </w:p>
        </w:tc>
        <w:tc>
          <w:tcPr>
            <w:tcW w:w="831" w:type="dxa"/>
          </w:tcPr>
          <w:p w14:paraId="083B8DEA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项</w:t>
            </w:r>
          </w:p>
        </w:tc>
        <w:tc>
          <w:tcPr>
            <w:tcW w:w="831" w:type="dxa"/>
          </w:tcPr>
          <w:p w14:paraId="0ADAC3D5">
            <w:pPr>
              <w:pStyle w:val="4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农、林、牧、渔业</w:t>
            </w:r>
          </w:p>
        </w:tc>
        <w:tc>
          <w:tcPr>
            <w:tcW w:w="831" w:type="dxa"/>
          </w:tcPr>
          <w:p w14:paraId="74B36C33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否</w:t>
            </w:r>
          </w:p>
        </w:tc>
        <w:tc>
          <w:tcPr>
            <w:tcW w:w="831" w:type="dxa"/>
          </w:tcPr>
          <w:p w14:paraId="3BDB306D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否</w:t>
            </w:r>
          </w:p>
        </w:tc>
        <w:tc>
          <w:tcPr>
            <w:tcW w:w="831" w:type="dxa"/>
          </w:tcPr>
          <w:p w14:paraId="5217D78C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否</w:t>
            </w:r>
          </w:p>
        </w:tc>
        <w:tc>
          <w:tcPr>
            <w:tcW w:w="831" w:type="dxa"/>
          </w:tcPr>
          <w:p w14:paraId="277034AE">
            <w:pPr>
              <w:pStyle w:val="4"/>
              <w:rPr>
                <w:highlight w:val="none"/>
              </w:rPr>
            </w:pPr>
            <w:r>
              <w:rPr>
                <w:rFonts w:ascii="仿宋_GB2312" w:hAnsi="仿宋_GB2312" w:eastAsia="仿宋_GB2312" w:cs="仿宋_GB2312"/>
                <w:highlight w:val="none"/>
              </w:rPr>
              <w:t>否</w:t>
            </w:r>
          </w:p>
        </w:tc>
      </w:tr>
    </w:tbl>
    <w:p w14:paraId="25C8E9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13396"/>
    <w:rsid w:val="7101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2025-08-20T09:25:00Z</dcterms:created>
  <dc:creator>川招</dc:creator>
  <cp:lastModifiedBy>川招</cp:lastModifiedBy>
  <dcterms:modified xsi:type="dcterms:W3CDTF">2025-08-20T09:25:59Z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800BDA60A7CE4F4AA684D7B35F5D0D77_11</vt:lpwstr>
  </property>
  <property fmtid="{D5CDD505-2E9C-101B-9397-08002B2CF9AE}" pid="4" name="KSOTemplateDocerSaveRecord">
    <vt:lpwstr>eyJoZGlkIjoiNmJmYTJlMTlmZGJiNWFkZWI2MGZkNjhjNGUxYzk5YTkiLCJ1c2VySWQiOiI2MDM4ODc3OTYifQ==</vt:lpwstr>
  </property>
</Properties>
</file>