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4B5E9">
      <w:pPr>
        <w:jc w:val="left"/>
        <w:rPr>
          <w:rFonts w:hint="eastAsia" w:ascii="仿宋_GB2312" w:eastAsia="仿宋_GB2312"/>
          <w:b/>
          <w:bCs/>
          <w:color w:val="000000"/>
          <w:sz w:val="32"/>
          <w:szCs w:val="32"/>
          <w:lang w:val="en-US" w:eastAsia="zh-CN"/>
        </w:rPr>
      </w:pPr>
      <w:r>
        <w:rPr>
          <w:rFonts w:hint="eastAsia" w:ascii="黑体" w:hAnsi="黑体" w:eastAsia="黑体"/>
          <w:sz w:val="32"/>
          <w:szCs w:val="32"/>
          <w:lang w:val="en-US" w:eastAsia="zh-CN"/>
        </w:rPr>
        <w:t xml:space="preserve">附件4   </w:t>
      </w:r>
      <w:r>
        <w:rPr>
          <w:rFonts w:hint="eastAsia" w:ascii="仿宋_GB2312" w:eastAsia="仿宋_GB2312"/>
          <w:b/>
          <w:bCs/>
          <w:color w:val="000000"/>
          <w:sz w:val="32"/>
          <w:szCs w:val="32"/>
          <w:lang w:val="en-US" w:eastAsia="zh-CN"/>
        </w:rPr>
        <w:t xml:space="preserve">      </w:t>
      </w:r>
    </w:p>
    <w:p w14:paraId="4DE1CA2E">
      <w:pPr>
        <w:jc w:val="center"/>
        <w:rPr>
          <w:rFonts w:hint="eastAsia" w:ascii="仿宋_GB2312" w:eastAsia="仿宋_GB2312"/>
          <w:b/>
          <w:bCs/>
          <w:color w:val="000000"/>
          <w:sz w:val="32"/>
          <w:szCs w:val="32"/>
        </w:rPr>
      </w:pPr>
      <w:r>
        <w:rPr>
          <w:rFonts w:hint="eastAsia" w:ascii="方正小标宋简体" w:eastAsia="方正小标宋简体"/>
          <w:b/>
          <w:spacing w:val="-12"/>
          <w:sz w:val="44"/>
          <w:szCs w:val="44"/>
        </w:rPr>
        <w:t>关于部分检验项目的说明</w:t>
      </w:r>
    </w:p>
    <w:p w14:paraId="25E5158A">
      <w:pPr>
        <w:pStyle w:val="2"/>
        <w:bidi w:val="0"/>
        <w:rPr>
          <w:rFonts w:hint="eastAsia" w:eastAsia="宋体"/>
          <w:sz w:val="32"/>
          <w:szCs w:val="32"/>
          <w:lang w:val="en-US" w:eastAsia="zh-CN"/>
        </w:rPr>
      </w:pPr>
      <w:r>
        <w:rPr>
          <w:rFonts w:hint="eastAsia"/>
          <w:sz w:val="32"/>
          <w:szCs w:val="32"/>
          <w:lang w:val="en-US" w:eastAsia="zh-CN"/>
        </w:rPr>
        <w:t>一</w:t>
      </w:r>
      <w:r>
        <w:rPr>
          <w:sz w:val="32"/>
          <w:szCs w:val="32"/>
        </w:rPr>
        <w:t>、</w:t>
      </w:r>
      <w:r>
        <w:rPr>
          <w:rFonts w:hint="eastAsia"/>
          <w:sz w:val="32"/>
          <w:szCs w:val="32"/>
          <w:lang w:val="en-US" w:eastAsia="zh-CN"/>
        </w:rPr>
        <w:t>倍硫磷</w:t>
      </w:r>
    </w:p>
    <w:p w14:paraId="3BBD6D05">
      <w:pPr>
        <w:spacing w:line="59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倍硫磷对害虫具有触杀和胃毒作用，对蚜虫等有较好防效。少量的残留不会引起人体急性中毒，但长期食用倍硫磷超标的食品，对人体健康可能有一定影响。《食品安全国家标准 食品中农药最大残留限量》（GB 2763-2021）中规定，倍硫磷在豇豆中的最大残留限量为0.05mg/kg。豇豆中倍硫磷残留量超标，可能为种植者未严格按照标准中规定用量使用，或者使用后未严格落实农药使用后安全间隔期有关规定而导致。</w:t>
      </w:r>
    </w:p>
    <w:p w14:paraId="7705FB74">
      <w:pPr>
        <w:pStyle w:val="2"/>
        <w:bidi w:val="0"/>
        <w:rPr>
          <w:rFonts w:hint="default" w:eastAsia="宋体"/>
          <w:sz w:val="32"/>
          <w:szCs w:val="32"/>
          <w:lang w:val="en-US" w:eastAsia="zh-CN"/>
        </w:rPr>
      </w:pPr>
      <w:r>
        <w:rPr>
          <w:rFonts w:hint="eastAsia"/>
          <w:sz w:val="32"/>
          <w:szCs w:val="32"/>
          <w:lang w:val="en-US" w:eastAsia="zh-CN"/>
        </w:rPr>
        <w:t>二</w:t>
      </w:r>
      <w:r>
        <w:rPr>
          <w:sz w:val="32"/>
          <w:szCs w:val="32"/>
        </w:rPr>
        <w:t>、</w:t>
      </w:r>
      <w:r>
        <w:rPr>
          <w:rFonts w:hint="eastAsia"/>
          <w:sz w:val="32"/>
          <w:szCs w:val="32"/>
          <w:lang w:val="en-US" w:eastAsia="zh-CN"/>
        </w:rPr>
        <w:t>山梨酸及其钾盐（以山梨酸计）</w:t>
      </w:r>
    </w:p>
    <w:p w14:paraId="0A2BB138">
      <w:pPr>
        <w:spacing w:line="59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山梨酸及其钾盐是食品添加剂中防腐剂的一种。《食品安全国家标准  食品添加剂使用标准》（GB 2760—2024）中规定，山梨酸及其钾盐在豆腐中是不允许使用的。豆腐中山梨酸及其钾盐超标的原因，可能是生产企业为延长产品保质期，从而超范围使用该种食品添加剂。长期食用山梨酸超标的食物，可能对人体的健康造成损害。 </w:t>
      </w:r>
    </w:p>
    <w:p w14:paraId="2DCB22C9">
      <w:pPr>
        <w:pStyle w:val="2"/>
        <w:bidi w:val="0"/>
        <w:rPr>
          <w:rFonts w:hint="eastAsia" w:ascii="仿宋_GB2312" w:hAnsi="仿宋_GB2312" w:eastAsia="仿宋_GB2312" w:cs="仿宋_GB2312"/>
          <w:sz w:val="32"/>
          <w:szCs w:val="32"/>
          <w:lang w:val="en-US" w:eastAsia="zh-CN"/>
        </w:rPr>
      </w:pPr>
      <w:r>
        <w:rPr>
          <w:rFonts w:hint="eastAsia"/>
          <w:sz w:val="32"/>
          <w:szCs w:val="32"/>
          <w:lang w:val="en-US" w:eastAsia="zh-CN"/>
        </w:rPr>
        <w:t>三</w:t>
      </w:r>
      <w:r>
        <w:rPr>
          <w:sz w:val="32"/>
          <w:szCs w:val="32"/>
        </w:rPr>
        <w:t>、</w:t>
      </w:r>
      <w:r>
        <w:rPr>
          <w:rFonts w:hint="eastAsia" w:ascii="仿宋_GB2312" w:hAnsi="Calibri" w:eastAsia="仿宋_GB2312" w:cs="Times New Roman"/>
          <w:kern w:val="2"/>
          <w:sz w:val="32"/>
          <w:szCs w:val="32"/>
          <w:lang w:val="en-US" w:eastAsia="zh-CN" w:bidi="ar-SA"/>
        </w:rPr>
        <w:t>吡唑醚菌酯</w:t>
      </w:r>
    </w:p>
    <w:p w14:paraId="588C834E">
      <w:pPr>
        <w:pStyle w:val="3"/>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Calibri" w:eastAsia="仿宋_GB2312" w:cs="Times New Roman"/>
          <w:kern w:val="2"/>
          <w:sz w:val="32"/>
          <w:szCs w:val="32"/>
          <w:lang w:val="en-US" w:eastAsia="zh-CN" w:bidi="ar-SA"/>
        </w:rPr>
        <w:t>吡唑醚菌酯为新型广谱杀菌剂，是甲氧基丙烯酸酯类杀菌剂之一。通过抑制菌株的呼吸作用，进而达到杀菌的效果。《食品安全国家标准 食品中农药最大残留限量》（GB 2763—2021）中规定，吡唑醚菌酯在</w:t>
      </w:r>
      <w:r>
        <w:rPr>
          <w:rFonts w:hint="eastAsia" w:ascii="仿宋_GB2312" w:eastAsia="仿宋_GB2312" w:cs="Times New Roman"/>
          <w:kern w:val="2"/>
          <w:sz w:val="32"/>
          <w:szCs w:val="32"/>
          <w:lang w:val="en-US" w:eastAsia="zh-CN" w:bidi="ar-SA"/>
        </w:rPr>
        <w:t>芒果</w:t>
      </w:r>
      <w:r>
        <w:rPr>
          <w:rFonts w:hint="eastAsia" w:ascii="仿宋_GB2312" w:hAnsi="Calibri" w:eastAsia="仿宋_GB2312" w:cs="Times New Roman"/>
          <w:kern w:val="2"/>
          <w:sz w:val="32"/>
          <w:szCs w:val="32"/>
          <w:lang w:val="en-US" w:eastAsia="zh-CN" w:bidi="ar-SA"/>
        </w:rPr>
        <w:t>中的最大残留限量值为0.05mg/kg。</w:t>
      </w:r>
      <w:r>
        <w:rPr>
          <w:rFonts w:hint="eastAsia" w:ascii="仿宋_GB2312" w:eastAsia="仿宋_GB2312" w:cs="Times New Roman"/>
          <w:kern w:val="2"/>
          <w:sz w:val="32"/>
          <w:szCs w:val="32"/>
          <w:lang w:val="en-US" w:eastAsia="zh-CN" w:bidi="ar-SA"/>
        </w:rPr>
        <w:t>芒果中</w:t>
      </w:r>
      <w:r>
        <w:rPr>
          <w:rFonts w:hint="eastAsia" w:ascii="仿宋_GB2312" w:hAnsi="Calibri" w:eastAsia="仿宋_GB2312" w:cs="Times New Roman"/>
          <w:kern w:val="2"/>
          <w:sz w:val="32"/>
          <w:szCs w:val="32"/>
          <w:lang w:val="en-US" w:eastAsia="zh-CN" w:bidi="ar-SA"/>
        </w:rPr>
        <w:t>吡唑醚菌酯超标的主要原因可能是种植过程中为控制病虫害而超量使用。</w:t>
      </w:r>
    </w:p>
    <w:p w14:paraId="4762A60A">
      <w:pPr>
        <w:pStyle w:val="2"/>
        <w:bidi w:val="0"/>
        <w:rPr>
          <w:rFonts w:hint="eastAsia" w:eastAsia="宋体"/>
          <w:sz w:val="32"/>
          <w:szCs w:val="32"/>
          <w:lang w:val="en-US" w:eastAsia="zh-CN"/>
        </w:rPr>
      </w:pPr>
      <w:r>
        <w:rPr>
          <w:rFonts w:hint="eastAsia"/>
          <w:sz w:val="32"/>
          <w:szCs w:val="32"/>
          <w:lang w:val="en-US" w:eastAsia="zh-CN"/>
        </w:rPr>
        <w:t>四、噻虫胺</w:t>
      </w:r>
    </w:p>
    <w:p w14:paraId="2186ED34">
      <w:pPr>
        <w:spacing w:line="594"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噻虫胺属烟碱类杀虫剂，具有内吸性、触杀和胃毒作用，对蚜虫、斑潜蝇等有较好防效。少量的残留不会引起人体急性中毒，但长期食用噻虫胺超标的食品，对人体健康也有一定影响。《食品安全国家标准 食品中农药最大残留限量》（GB 2763-2021）中均规定，噻虫胺在</w:t>
      </w:r>
      <w:r>
        <w:rPr>
          <w:rFonts w:hint="eastAsia" w:eastAsia="仿宋_GB2312" w:cs="Times New Roman"/>
          <w:sz w:val="32"/>
          <w:szCs w:val="32"/>
          <w:lang w:val="en-US" w:eastAsia="zh-CN"/>
        </w:rPr>
        <w:t>生姜和辣椒中</w:t>
      </w:r>
      <w:r>
        <w:rPr>
          <w:rFonts w:hint="eastAsia" w:ascii="Times New Roman" w:hAnsi="Times New Roman" w:eastAsia="仿宋_GB2312" w:cs="Times New Roman"/>
          <w:sz w:val="32"/>
          <w:szCs w:val="32"/>
        </w:rPr>
        <w:t>的最大残留限量值</w:t>
      </w:r>
      <w:r>
        <w:rPr>
          <w:rFonts w:hint="eastAsia" w:eastAsia="仿宋_GB2312" w:cs="Times New Roman"/>
          <w:sz w:val="32"/>
          <w:szCs w:val="32"/>
          <w:lang w:val="en-US" w:eastAsia="zh-CN"/>
        </w:rPr>
        <w:t>分别</w:t>
      </w:r>
      <w:r>
        <w:rPr>
          <w:rFonts w:hint="eastAsia" w:ascii="Times New Roman" w:hAnsi="Times New Roman" w:eastAsia="仿宋_GB2312" w:cs="Times New Roman"/>
          <w:sz w:val="32"/>
          <w:szCs w:val="32"/>
        </w:rPr>
        <w:t>为0.2mg/kg</w:t>
      </w:r>
      <w:r>
        <w:rPr>
          <w:rFonts w:hint="eastAsia" w:eastAsia="仿宋_GB2312" w:cs="Times New Roman"/>
          <w:sz w:val="32"/>
          <w:szCs w:val="32"/>
          <w:lang w:eastAsia="zh-CN"/>
        </w:rPr>
        <w:t>、</w:t>
      </w:r>
      <w:r>
        <w:rPr>
          <w:rFonts w:hint="eastAsia" w:ascii="Times New Roman" w:hAnsi="Times New Roman" w:eastAsia="仿宋_GB2312" w:cs="Times New Roman"/>
          <w:sz w:val="32"/>
          <w:szCs w:val="32"/>
        </w:rPr>
        <w:t>0.</w:t>
      </w:r>
      <w:r>
        <w:rPr>
          <w:rFonts w:hint="eastAsia" w:eastAsia="仿宋_GB2312" w:cs="Times New Roman"/>
          <w:sz w:val="32"/>
          <w:szCs w:val="32"/>
          <w:lang w:val="en-US" w:eastAsia="zh-CN"/>
        </w:rPr>
        <w:t>05</w:t>
      </w:r>
      <w:r>
        <w:rPr>
          <w:rFonts w:hint="eastAsia" w:ascii="Times New Roman" w:hAnsi="Times New Roman" w:eastAsia="仿宋_GB2312" w:cs="Times New Roman"/>
          <w:sz w:val="32"/>
          <w:szCs w:val="32"/>
        </w:rPr>
        <w:t>mg/kg</w:t>
      </w:r>
      <w:r>
        <w:rPr>
          <w:rFonts w:hint="eastAsia" w:eastAsia="仿宋_GB2312" w:cs="Times New Roman"/>
          <w:sz w:val="32"/>
          <w:szCs w:val="32"/>
          <w:lang w:eastAsia="zh-CN"/>
        </w:rPr>
        <w:t>。</w:t>
      </w:r>
      <w:r>
        <w:rPr>
          <w:rFonts w:hint="eastAsia" w:eastAsia="仿宋_GB2312" w:cs="Times New Roman"/>
          <w:sz w:val="32"/>
          <w:szCs w:val="32"/>
          <w:lang w:val="en-US" w:eastAsia="zh-CN"/>
        </w:rPr>
        <w:t>生姜</w:t>
      </w:r>
      <w:r>
        <w:rPr>
          <w:rFonts w:hint="eastAsia" w:eastAsia="仿宋_GB2312" w:cs="Times New Roman"/>
          <w:sz w:val="32"/>
          <w:szCs w:val="32"/>
          <w:lang w:val="en-US" w:eastAsia="zh-CN"/>
        </w:rPr>
        <w:t>和辣椒</w:t>
      </w:r>
      <w:r>
        <w:rPr>
          <w:rFonts w:hint="eastAsia" w:ascii="Times New Roman" w:hAnsi="Times New Roman" w:eastAsia="仿宋_GB2312" w:cs="Times New Roman"/>
          <w:sz w:val="32"/>
          <w:szCs w:val="32"/>
        </w:rPr>
        <w:t>中噻虫胺残留量超标的原因，可能是为快速控制虫害，加大用药量或未遵守采摘间隔期规定。</w:t>
      </w:r>
      <w:bookmarkStart w:id="0" w:name="_GoBack"/>
      <w:bookmarkEnd w:id="0"/>
    </w:p>
    <w:p w14:paraId="5A0E695D">
      <w:pPr>
        <w:pStyle w:val="2"/>
        <w:bidi w:val="0"/>
        <w:rPr>
          <w:rFonts w:hint="eastAsia" w:ascii="Times New Roman" w:hAnsi="Times New Roman" w:eastAsia="仿宋_GB2312" w:cs="Times New Roman"/>
          <w:sz w:val="32"/>
          <w:szCs w:val="32"/>
          <w:lang w:val="en-US" w:eastAsia="zh-CN"/>
        </w:rPr>
      </w:pPr>
      <w:r>
        <w:rPr>
          <w:rFonts w:hint="eastAsia"/>
          <w:sz w:val="32"/>
          <w:szCs w:val="32"/>
          <w:lang w:val="en-US" w:eastAsia="zh-CN"/>
        </w:rPr>
        <w:t>五、脱氢乙酸及其钠盐（以脱氢乙酸计）</w:t>
      </w:r>
    </w:p>
    <w:p w14:paraId="4DE7395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topLinePunct w:val="0"/>
        <w:autoSpaceDE/>
        <w:autoSpaceDN/>
        <w:bidi w:val="0"/>
        <w:spacing w:before="0" w:beforeAutospacing="0" w:after="0" w:afterAutospacing="0" w:line="360" w:lineRule="auto"/>
        <w:ind w:left="0" w:right="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脱氢乙酸及其钠盐作为一种广谱食品防腐剂，对霉菌和酵母菌的抑制能力强，在高剂量使用时能抑制细菌。脱氢乙酸及其钠盐能被人体完全吸收，并能抑制人体内多种氧化酶，长期过量摄入脱氢乙酸及其钠盐可能会危害人体健康。根据《食品安全国家标准食品添加剂使用标准》(GB 2760—20</w:t>
      </w:r>
      <w:r>
        <w:rPr>
          <w:rFonts w:hint="eastAsia" w:eastAsia="仿宋_GB2312" w:cs="Times New Roman"/>
          <w:kern w:val="2"/>
          <w:sz w:val="32"/>
          <w:szCs w:val="32"/>
          <w:lang w:val="en-US" w:eastAsia="zh-CN" w:bidi="ar-SA"/>
        </w:rPr>
        <w:t>2</w:t>
      </w:r>
      <w:r>
        <w:rPr>
          <w:rFonts w:hint="eastAsia" w:ascii="Times New Roman" w:hAnsi="Times New Roman" w:eastAsia="仿宋_GB2312" w:cs="Times New Roman"/>
          <w:kern w:val="2"/>
          <w:sz w:val="32"/>
          <w:szCs w:val="32"/>
          <w:lang w:val="en-US" w:eastAsia="zh-CN" w:bidi="ar-SA"/>
        </w:rPr>
        <w:t>4)中规定，</w:t>
      </w:r>
      <w:r>
        <w:rPr>
          <w:rFonts w:hint="eastAsia" w:eastAsia="仿宋_GB2312" w:cs="Times New Roman"/>
          <w:kern w:val="2"/>
          <w:sz w:val="32"/>
          <w:szCs w:val="32"/>
          <w:lang w:val="en-US" w:eastAsia="zh-CN" w:bidi="ar-SA"/>
        </w:rPr>
        <w:t>桑葚中</w:t>
      </w:r>
      <w:r>
        <w:rPr>
          <w:rFonts w:hint="eastAsia" w:ascii="Times New Roman" w:hAnsi="Times New Roman" w:eastAsia="仿宋_GB2312" w:cs="Times New Roman"/>
          <w:kern w:val="2"/>
          <w:sz w:val="32"/>
          <w:szCs w:val="32"/>
          <w:lang w:val="en-US" w:eastAsia="zh-CN" w:bidi="ar-SA"/>
        </w:rPr>
        <w:t>不得使用脱氢乙酸及其钠盐。脱氢乙酸超标的原因可能是个别生产经营企业为防止食品腐败变质，超范围使用了该添加剂，或者其使用的复配添加剂中含有该添加剂含量。</w:t>
      </w:r>
    </w:p>
    <w:p w14:paraId="5EE09ED4">
      <w:pPr>
        <w:pStyle w:val="7"/>
        <w:rPr>
          <w:rFonts w:hint="eastAsia" w:ascii="Times New Roman" w:hAnsi="Times New Roman" w:eastAsia="仿宋_GB2312" w:cs="Times New Roman"/>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jMmMzMDhmMjlkNGQ3YmNhNzZkMzdhNGU5ZGM2MzYifQ=="/>
  </w:docVars>
  <w:rsids>
    <w:rsidRoot w:val="00000000"/>
    <w:rsid w:val="025A6F80"/>
    <w:rsid w:val="08893842"/>
    <w:rsid w:val="0D3E52FB"/>
    <w:rsid w:val="0FF827DB"/>
    <w:rsid w:val="11257A95"/>
    <w:rsid w:val="120D4268"/>
    <w:rsid w:val="13407248"/>
    <w:rsid w:val="14052BC6"/>
    <w:rsid w:val="158E0B6D"/>
    <w:rsid w:val="1A09262C"/>
    <w:rsid w:val="1A53574F"/>
    <w:rsid w:val="1DA305A7"/>
    <w:rsid w:val="1E5A2198"/>
    <w:rsid w:val="1F187221"/>
    <w:rsid w:val="1F511F69"/>
    <w:rsid w:val="20D178FA"/>
    <w:rsid w:val="25CF2251"/>
    <w:rsid w:val="260E03E6"/>
    <w:rsid w:val="268A22F2"/>
    <w:rsid w:val="28093745"/>
    <w:rsid w:val="29910B5A"/>
    <w:rsid w:val="2B683B08"/>
    <w:rsid w:val="2D7856B1"/>
    <w:rsid w:val="2FD70C66"/>
    <w:rsid w:val="33D503BA"/>
    <w:rsid w:val="39AE1EB7"/>
    <w:rsid w:val="39C263A7"/>
    <w:rsid w:val="3A5D6199"/>
    <w:rsid w:val="3FB063B0"/>
    <w:rsid w:val="3FF73F91"/>
    <w:rsid w:val="41296BA9"/>
    <w:rsid w:val="48E723BE"/>
    <w:rsid w:val="4A21632B"/>
    <w:rsid w:val="4DE31993"/>
    <w:rsid w:val="4EC25229"/>
    <w:rsid w:val="539F588C"/>
    <w:rsid w:val="59DE26C8"/>
    <w:rsid w:val="5D103D17"/>
    <w:rsid w:val="5E925680"/>
    <w:rsid w:val="60385D1A"/>
    <w:rsid w:val="6045730E"/>
    <w:rsid w:val="63975EBE"/>
    <w:rsid w:val="64CD6821"/>
    <w:rsid w:val="691A7E49"/>
    <w:rsid w:val="716231D2"/>
    <w:rsid w:val="722F09BF"/>
    <w:rsid w:val="738C2F6A"/>
    <w:rsid w:val="73943FC2"/>
    <w:rsid w:val="75C964F8"/>
    <w:rsid w:val="76C35315"/>
    <w:rsid w:val="7910230C"/>
    <w:rsid w:val="7ABC14A1"/>
    <w:rsid w:val="7C0107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50" w:beforeLines="50" w:beforeAutospacing="0" w:after="50" w:afterLines="50" w:afterAutospacing="0" w:line="360" w:lineRule="auto"/>
      <w:outlineLvl w:val="0"/>
    </w:pPr>
    <w:rPr>
      <w:rFonts w:ascii="Calibri" w:hAnsi="Calibri"/>
      <w:b/>
      <w:kern w:val="44"/>
      <w:sz w:val="28"/>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autoRedefine/>
    <w:qFormat/>
    <w:uiPriority w:val="0"/>
    <w:pPr>
      <w:spacing w:after="120" w:afterLines="0" w:afterAutospacing="0"/>
    </w:pPr>
  </w:style>
  <w:style w:type="paragraph" w:styleId="4">
    <w:name w:val="Body Text Indent"/>
    <w:basedOn w:val="1"/>
    <w:autoRedefine/>
    <w:unhideWhenUsed/>
    <w:qFormat/>
    <w:uiPriority w:val="99"/>
    <w:pPr>
      <w:spacing w:after="120"/>
      <w:ind w:left="420" w:leftChars="200"/>
    </w:pPr>
    <w:rPr>
      <w:rFonts w:hAnsi="Calibri"/>
      <w:kern w:val="0"/>
      <w:szCs w:val="20"/>
    </w:rPr>
  </w:style>
  <w:style w:type="paragraph" w:styleId="5">
    <w:name w:val="HTML Preformatted"/>
    <w:basedOn w:val="1"/>
    <w:autoRedefine/>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hint="default" w:ascii="Arial" w:hAnsi="Arial" w:eastAsia="宋体" w:cs="Arial"/>
      <w:kern w:val="0"/>
      <w:sz w:val="24"/>
      <w:szCs w:val="24"/>
      <w:lang w:val="en-US" w:eastAsia="zh-CN" w:bidi="ar"/>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4"/>
    <w:autoRedefine/>
    <w:unhideWhenUsed/>
    <w:qFormat/>
    <w:uiPriority w:val="99"/>
    <w:pPr>
      <w:ind w:firstLine="420" w:firstLineChars="200"/>
    </w:pPr>
  </w:style>
  <w:style w:type="character" w:styleId="10">
    <w:name w:val="Strong"/>
    <w:basedOn w:val="9"/>
    <w:autoRedefine/>
    <w:qFormat/>
    <w:uiPriority w:val="0"/>
    <w:rPr>
      <w:b/>
    </w:rPr>
  </w:style>
  <w:style w:type="character" w:styleId="11">
    <w:name w:val="Hyperlink"/>
    <w:basedOn w:val="9"/>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747</Words>
  <Characters>812</Characters>
  <Lines>0</Lines>
  <Paragraphs>0</Paragraphs>
  <TotalTime>0</TotalTime>
  <ScaleCrop>false</ScaleCrop>
  <LinksUpToDate>false</LinksUpToDate>
  <CharactersWithSpaces>829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WPS_1726281639</cp:lastModifiedBy>
  <dcterms:modified xsi:type="dcterms:W3CDTF">2025-05-28T08:52:39Z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952A8F96C6AB42A397BBEFF35B4C3F76</vt:lpwstr>
  </property>
  <property fmtid="{D5CDD505-2E9C-101B-9397-08002B2CF9AE}" pid="4" name="KSOTemplateDocerSaveRecord">
    <vt:lpwstr>eyJoZGlkIjoiZmRhN2Y1YmRmZWE4ZWQwYjhlZWRjMjZlNDg5ODI3NzEiLCJ1c2VySWQiOiIxNjM1NTk1Njk5In0=</vt:lpwstr>
  </property>
</Properties>
</file>