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color w:val="auto"/>
          <w:sz w:val="32"/>
          <w:szCs w:val="32"/>
        </w:rPr>
      </w:pPr>
      <w:r>
        <w:rPr>
          <w:rFonts w:hint="eastAsia" w:ascii="黑体" w:hAnsi="ˎ̥" w:eastAsia="黑体" w:cs="Arial"/>
          <w:color w:val="auto"/>
          <w:sz w:val="32"/>
          <w:szCs w:val="32"/>
        </w:rPr>
        <w:t>附件4</w:t>
      </w:r>
    </w:p>
    <w:p>
      <w:pPr>
        <w:spacing w:line="560" w:lineRule="exact"/>
        <w:ind w:firstLine="2700" w:firstLineChars="750"/>
        <w:rPr>
          <w:rFonts w:hint="eastAsia" w:ascii="黑体" w:hAnsi="宋体" w:eastAsia="黑体" w:cs="仿宋"/>
          <w:b/>
          <w:color w:val="auto"/>
          <w:sz w:val="36"/>
          <w:szCs w:val="36"/>
          <w:shd w:val="clear" w:color="auto" w:fill="FFFFFF"/>
        </w:rPr>
      </w:pPr>
      <w:bookmarkStart w:id="0" w:name="_GoBack"/>
      <w:bookmarkEnd w:id="0"/>
      <w:r>
        <w:rPr>
          <w:rFonts w:hint="eastAsia" w:ascii="黑体" w:hAnsi="ˎ̥" w:eastAsia="黑体" w:cs="Arial"/>
          <w:color w:val="auto"/>
          <w:sz w:val="36"/>
          <w:szCs w:val="36"/>
        </w:rPr>
        <w:t>关于部分检验项目的说明</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368" w:lineRule="atLeast"/>
        <w:ind w:left="0" w:right="0" w:firstLine="0"/>
        <w:rPr>
          <w:rFonts w:hint="eastAsia" w:ascii="仿宋" w:hAnsi="仿宋" w:eastAsia="仿宋" w:cs="仿宋"/>
          <w:i w:val="0"/>
          <w:iCs w:val="0"/>
          <w:caps w:val="0"/>
          <w:color w:val="auto"/>
          <w:spacing w:val="9"/>
          <w:sz w:val="28"/>
          <w:szCs w:val="28"/>
        </w:rPr>
      </w:pPr>
      <w:r>
        <w:rPr>
          <w:rStyle w:val="10"/>
          <w:rFonts w:hint="eastAsia" w:ascii="仿宋" w:hAnsi="仿宋" w:eastAsia="仿宋" w:cs="仿宋"/>
          <w:b/>
          <w:bCs/>
          <w:i w:val="0"/>
          <w:iCs w:val="0"/>
          <w:caps w:val="0"/>
          <w:color w:val="auto"/>
          <w:spacing w:val="9"/>
          <w:sz w:val="28"/>
          <w:szCs w:val="28"/>
          <w:shd w:val="clear" w:color="auto" w:fill="FFFFFF"/>
        </w:rPr>
        <w:t>苯甲酸及其钠盐（以苯甲酸计）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8" w:lineRule="atLeast"/>
        <w:ind w:left="0" w:right="0" w:firstLine="596" w:firstLineChars="200"/>
        <w:textAlignment w:val="auto"/>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苯甲酸及其钠盐（以苯甲酸计）是食品工业中常用的一种防腐剂，对霉菌、酵母和细菌有较好的抑制作用。长期食用苯甲酸及其钠盐超标的食品，可能会造成肝脏积累性中毒，危害肝脏健康。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8" w:lineRule="atLeast"/>
        <w:ind w:left="0" w:right="0" w:firstLine="596" w:firstLineChars="200"/>
        <w:textAlignment w:val="auto"/>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《食品安全国家标准 食品添加剂使用标准》（GB 2760—2014）中规定，苯甲酸及其钠盐（以苯甲酸计）在其他谷物粉类制成品中不得使用。其他谷物粉类制成品中检出苯甲酸及其钠盐（以苯甲酸计）的原因，可能是生产企业为延长产品保质期，或者弥补产品生产过程卫生条件不佳而超范围使用。</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368" w:lineRule="atLeast"/>
        <w:ind w:left="0" w:right="0" w:firstLine="0"/>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 </w:t>
      </w:r>
      <w:r>
        <w:rPr>
          <w:rStyle w:val="10"/>
          <w:rFonts w:hint="eastAsia" w:ascii="仿宋" w:hAnsi="仿宋" w:eastAsia="仿宋" w:cs="仿宋"/>
          <w:b/>
          <w:bCs/>
          <w:i w:val="0"/>
          <w:iCs w:val="0"/>
          <w:caps w:val="0"/>
          <w:color w:val="auto"/>
          <w:spacing w:val="9"/>
          <w:sz w:val="28"/>
          <w:szCs w:val="28"/>
          <w:shd w:val="clear" w:color="auto" w:fill="FFFFFF"/>
        </w:rPr>
        <w:t>脱氢乙酸及其钠盐（以脱氢乙酸计）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8" w:lineRule="atLeast"/>
        <w:ind w:left="0" w:right="0" w:firstLine="596" w:firstLineChars="200"/>
        <w:textAlignment w:val="auto"/>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脱氢乙酸及其钠盐是一种常见的广谱性食品防腐剂，对霉菌和酵母有较好的抑制作用。脱氢乙酸及其钠盐能被人体迅速吸收，并分布于血液和多个器官中，长期食用脱氢乙酸及其钠盐超标的食品会危害人体健康。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8" w:lineRule="atLeast"/>
        <w:ind w:left="0" w:right="0" w:firstLine="596" w:firstLineChars="200"/>
        <w:textAlignment w:val="auto"/>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《食品安全国家标准 食品添加剂使用标准》（GB 2760—2014）中规定，脱氢乙酸及其钠盐在杨梅</w:t>
      </w:r>
      <w:r>
        <w:rPr>
          <w:rFonts w:hint="eastAsia" w:ascii="仿宋" w:hAnsi="仿宋" w:eastAsia="仿宋" w:cs="仿宋"/>
          <w:i w:val="0"/>
          <w:iCs w:val="0"/>
          <w:caps w:val="0"/>
          <w:color w:val="auto"/>
          <w:spacing w:val="9"/>
          <w:sz w:val="28"/>
          <w:szCs w:val="28"/>
          <w:shd w:val="clear" w:color="auto" w:fill="FFFFFF"/>
          <w:lang w:val="en-US" w:eastAsia="zh-CN"/>
        </w:rPr>
        <w:t>中</w:t>
      </w:r>
      <w:r>
        <w:rPr>
          <w:rFonts w:hint="eastAsia" w:ascii="仿宋" w:hAnsi="仿宋" w:eastAsia="仿宋" w:cs="仿宋"/>
          <w:i w:val="0"/>
          <w:iCs w:val="0"/>
          <w:caps w:val="0"/>
          <w:color w:val="auto"/>
          <w:spacing w:val="9"/>
          <w:sz w:val="28"/>
          <w:szCs w:val="28"/>
          <w:shd w:val="clear" w:color="auto" w:fill="FFFFFF"/>
        </w:rPr>
        <w:t>不得使用。杨梅中检出脱氢乙酸及其钠盐（以脱氢乙酸计）的原因，可能是为减缓产品腐败变质超范围使用，也可能是对原辅料管控不足由其使用的复配添加剂引入。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8" w:lineRule="atLeast"/>
        <w:ind w:left="0" w:right="0" w:firstLine="596" w:firstLineChars="200"/>
        <w:textAlignment w:val="auto"/>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《食品安全国家标准 食品添加剂使用标准》（GB 2760—2014）中规定，大面筋中不允许使用脱氢乙酸及其钠盐。大面筋中检出脱氢乙酸及其钠盐（以脱氢乙酸计）的原因，可能是个别企业为防止食品腐败变质超范围使用了该添加剂，也可能是其使用的复配添加剂中含有该添加剂。</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368" w:lineRule="atLeast"/>
        <w:ind w:left="0" w:right="0" w:firstLine="0"/>
        <w:rPr>
          <w:rFonts w:hint="eastAsia" w:ascii="仿宋" w:hAnsi="仿宋" w:eastAsia="仿宋" w:cs="仿宋"/>
          <w:i w:val="0"/>
          <w:iCs w:val="0"/>
          <w:caps w:val="0"/>
          <w:color w:val="auto"/>
          <w:spacing w:val="9"/>
          <w:sz w:val="28"/>
          <w:szCs w:val="28"/>
        </w:rPr>
      </w:pPr>
      <w:r>
        <w:rPr>
          <w:rStyle w:val="10"/>
          <w:rFonts w:hint="eastAsia" w:ascii="仿宋" w:hAnsi="仿宋" w:eastAsia="仿宋" w:cs="仿宋"/>
          <w:b/>
          <w:bCs/>
          <w:i w:val="0"/>
          <w:iCs w:val="0"/>
          <w:caps w:val="0"/>
          <w:color w:val="auto"/>
          <w:spacing w:val="9"/>
          <w:sz w:val="28"/>
          <w:szCs w:val="28"/>
          <w:shd w:val="clear" w:color="auto" w:fill="FFFFFF"/>
        </w:rPr>
        <w:t>吡虫啉</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96" w:firstLineChars="200"/>
        <w:textAlignment w:val="auto"/>
        <w:rPr>
          <w:rFonts w:hint="eastAsia" w:ascii="仿宋" w:hAnsi="仿宋" w:eastAsia="仿宋" w:cs="仿宋"/>
          <w:i w:val="0"/>
          <w:iCs w:val="0"/>
          <w:caps w:val="0"/>
          <w:color w:val="auto"/>
          <w:spacing w:val="9"/>
          <w:sz w:val="28"/>
          <w:szCs w:val="28"/>
          <w:shd w:val="clear" w:color="auto" w:fill="FFFFFF"/>
        </w:rPr>
      </w:pPr>
      <w:r>
        <w:rPr>
          <w:rFonts w:hint="eastAsia" w:ascii="仿宋" w:hAnsi="仿宋" w:eastAsia="仿宋" w:cs="仿宋"/>
          <w:i w:val="0"/>
          <w:iCs w:val="0"/>
          <w:caps w:val="0"/>
          <w:color w:val="auto"/>
          <w:spacing w:val="9"/>
          <w:sz w:val="28"/>
          <w:szCs w:val="28"/>
          <w:shd w:val="clear" w:color="auto" w:fill="FFFFFF"/>
        </w:rPr>
        <w:t>吡虫啉属内吸性杀虫剂，具有触杀和胃毒作用。少量的残留不会引起人体急性中毒，但长期食用吡虫啉超标的食品，对人体健康可能有一定影响。《食品安全国家标准 食品中农药最大残留限量》（GB 2763—20</w:t>
      </w:r>
      <w:r>
        <w:rPr>
          <w:rFonts w:hint="eastAsia" w:ascii="仿宋" w:hAnsi="仿宋" w:eastAsia="仿宋" w:cs="仿宋"/>
          <w:i w:val="0"/>
          <w:iCs w:val="0"/>
          <w:caps w:val="0"/>
          <w:color w:val="auto"/>
          <w:spacing w:val="9"/>
          <w:sz w:val="28"/>
          <w:szCs w:val="28"/>
          <w:shd w:val="clear" w:color="auto" w:fill="FFFFFF"/>
          <w:lang w:val="en-US" w:eastAsia="zh-CN"/>
        </w:rPr>
        <w:t>21</w:t>
      </w:r>
      <w:r>
        <w:rPr>
          <w:rFonts w:hint="eastAsia" w:ascii="仿宋" w:hAnsi="仿宋" w:eastAsia="仿宋" w:cs="仿宋"/>
          <w:i w:val="0"/>
          <w:iCs w:val="0"/>
          <w:caps w:val="0"/>
          <w:color w:val="auto"/>
          <w:spacing w:val="9"/>
          <w:sz w:val="28"/>
          <w:szCs w:val="28"/>
          <w:shd w:val="clear" w:color="auto" w:fill="FFFFFF"/>
        </w:rPr>
        <w:t>）中规定，吡虫啉在香蕉中的最大残留限量值为0.05mg/kg。香蕉中吡虫啉残留量超标的原因，可能是为快速控制虫害，加大用药量或未遵守采摘间隔期规定，致使上市销售的产品中残留量超标。</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368" w:lineRule="atLeast"/>
        <w:ind w:left="0" w:right="0" w:firstLine="0"/>
        <w:rPr>
          <w:rFonts w:hint="eastAsia" w:ascii="仿宋" w:hAnsi="仿宋" w:eastAsia="仿宋" w:cs="仿宋"/>
          <w:i w:val="0"/>
          <w:iCs w:val="0"/>
          <w:caps w:val="0"/>
          <w:color w:val="auto"/>
          <w:spacing w:val="9"/>
          <w:sz w:val="28"/>
          <w:szCs w:val="28"/>
        </w:rPr>
      </w:pPr>
      <w:r>
        <w:rPr>
          <w:rStyle w:val="10"/>
          <w:rFonts w:hint="eastAsia" w:ascii="仿宋" w:hAnsi="仿宋" w:eastAsia="仿宋" w:cs="仿宋"/>
          <w:b/>
          <w:bCs/>
          <w:i w:val="0"/>
          <w:iCs w:val="0"/>
          <w:caps w:val="0"/>
          <w:color w:val="auto"/>
          <w:spacing w:val="9"/>
          <w:sz w:val="28"/>
          <w:szCs w:val="28"/>
          <w:shd w:val="clear" w:color="auto" w:fill="FFFFFF"/>
        </w:rPr>
        <w:t>噻虫胺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8" w:lineRule="atLeast"/>
        <w:ind w:left="0" w:right="0" w:firstLine="596" w:firstLineChars="200"/>
        <w:textAlignment w:val="auto"/>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食品中农药最大残留限量》（GB 2763—20</w:t>
      </w:r>
      <w:r>
        <w:rPr>
          <w:rFonts w:hint="eastAsia" w:ascii="仿宋" w:hAnsi="仿宋" w:eastAsia="仿宋" w:cs="仿宋"/>
          <w:i w:val="0"/>
          <w:iCs w:val="0"/>
          <w:caps w:val="0"/>
          <w:color w:val="auto"/>
          <w:spacing w:val="9"/>
          <w:sz w:val="28"/>
          <w:szCs w:val="28"/>
          <w:shd w:val="clear" w:color="auto" w:fill="FFFFFF"/>
          <w:lang w:val="en-US" w:eastAsia="zh-CN"/>
        </w:rPr>
        <w:t>21</w:t>
      </w:r>
      <w:r>
        <w:rPr>
          <w:rFonts w:hint="eastAsia" w:ascii="仿宋" w:hAnsi="仿宋" w:eastAsia="仿宋" w:cs="仿宋"/>
          <w:i w:val="0"/>
          <w:iCs w:val="0"/>
          <w:caps w:val="0"/>
          <w:color w:val="auto"/>
          <w:spacing w:val="9"/>
          <w:sz w:val="28"/>
          <w:szCs w:val="28"/>
          <w:shd w:val="clear" w:color="auto" w:fill="FFFFFF"/>
        </w:rPr>
        <w:t>）中规定，噻虫胺在芒果中的最大残留限量值为0.04mg/kg。芒果中噻虫胺残留量超标的原因，可能是为快速控制虫害，加大用药量或未遵守采摘间隔期规定，致使上市销售的产品中残留量超标。</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368" w:lineRule="atLeast"/>
        <w:ind w:left="0" w:right="0" w:firstLine="0"/>
        <w:rPr>
          <w:rFonts w:hint="eastAsia" w:ascii="仿宋" w:hAnsi="仿宋" w:eastAsia="仿宋" w:cs="仿宋"/>
          <w:i w:val="0"/>
          <w:iCs w:val="0"/>
          <w:caps w:val="0"/>
          <w:color w:val="auto"/>
          <w:spacing w:val="9"/>
          <w:sz w:val="28"/>
          <w:szCs w:val="28"/>
        </w:rPr>
      </w:pPr>
      <w:r>
        <w:rPr>
          <w:rStyle w:val="10"/>
          <w:rFonts w:hint="eastAsia" w:ascii="仿宋" w:hAnsi="仿宋" w:eastAsia="仿宋" w:cs="仿宋"/>
          <w:b/>
          <w:bCs/>
          <w:i w:val="0"/>
          <w:iCs w:val="0"/>
          <w:caps w:val="0"/>
          <w:color w:val="auto"/>
          <w:spacing w:val="9"/>
          <w:sz w:val="28"/>
          <w:szCs w:val="28"/>
          <w:shd w:val="clear" w:color="auto" w:fill="FFFFFF"/>
        </w:rPr>
        <w:t>戊唑醇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8" w:lineRule="atLeast"/>
        <w:ind w:left="0" w:right="0" w:firstLine="596" w:firstLineChars="200"/>
        <w:textAlignment w:val="auto"/>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戊唑醇是一种具有保护、治疗和铲除作用的内吸性杀菌剂，对芒果炭疽病等有较好防效。少量的残留不会引起人体急性中毒，但长期食用戊唑醇超标的食品，对人体健康可能有一定影响。《食品安全国家标准 食品中农药最大残留限量》（GB 2763—2019）中规定，戊唑醇在芒果中的最大残留限量值为0.05mg/kg。芒果中戊唑醇残留量超标的原因，可能是为快速控制病情，加大用药量或未遵守采摘间隔期规定，致使上市销售的产品中残留量超标。</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spacing w:before="0" w:beforeAutospacing="0" w:after="0" w:afterAutospacing="0" w:line="368" w:lineRule="atLeast"/>
        <w:ind w:left="0" w:right="0" w:firstLine="0"/>
        <w:rPr>
          <w:rFonts w:hint="eastAsia" w:ascii="仿宋" w:hAnsi="仿宋" w:eastAsia="仿宋" w:cs="仿宋"/>
          <w:i w:val="0"/>
          <w:iCs w:val="0"/>
          <w:caps w:val="0"/>
          <w:color w:val="auto"/>
          <w:spacing w:val="9"/>
          <w:sz w:val="28"/>
          <w:szCs w:val="28"/>
        </w:rPr>
      </w:pPr>
      <w:r>
        <w:rPr>
          <w:rStyle w:val="10"/>
          <w:rFonts w:hint="eastAsia" w:ascii="仿宋" w:hAnsi="仿宋" w:eastAsia="仿宋" w:cs="仿宋"/>
          <w:b/>
          <w:bCs/>
          <w:i w:val="0"/>
          <w:iCs w:val="0"/>
          <w:caps w:val="0"/>
          <w:color w:val="auto"/>
          <w:spacing w:val="9"/>
          <w:sz w:val="28"/>
          <w:szCs w:val="28"/>
          <w:shd w:val="clear" w:color="auto" w:fill="FFFFFF"/>
        </w:rPr>
        <w:t>糖精钠（以糖精计）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8" w:lineRule="atLeast"/>
        <w:ind w:left="0" w:right="0" w:firstLine="596" w:firstLineChars="200"/>
        <w:textAlignment w:val="auto"/>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 糖精钠是普遍使用的人工合成甜味剂，在人体内不被吸收，不产生热量，大部分经肾排出而不损害肾功能。但如果长期摄入糖精钠超标的食品，可能会影响肠胃消化酶的正常分泌，降低小肠的吸收能力，使食欲减退。</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kinsoku/>
        <w:wordWrap/>
        <w:overflowPunct/>
        <w:topLinePunct w:val="0"/>
        <w:autoSpaceDE/>
        <w:autoSpaceDN/>
        <w:bidi w:val="0"/>
        <w:adjustRightInd/>
        <w:snapToGrid/>
        <w:spacing w:before="0" w:beforeAutospacing="0" w:after="0" w:afterAutospacing="0" w:line="368" w:lineRule="atLeast"/>
        <w:ind w:left="0" w:right="0" w:firstLine="596" w:firstLineChars="200"/>
        <w:textAlignment w:val="auto"/>
        <w:rPr>
          <w:rFonts w:hint="eastAsia" w:ascii="仿宋" w:hAnsi="仿宋" w:eastAsia="仿宋" w:cs="仿宋"/>
          <w:i w:val="0"/>
          <w:iCs w:val="0"/>
          <w:caps w:val="0"/>
          <w:color w:val="auto"/>
          <w:spacing w:val="9"/>
          <w:sz w:val="28"/>
          <w:szCs w:val="28"/>
        </w:rPr>
      </w:pPr>
      <w:r>
        <w:rPr>
          <w:rFonts w:hint="eastAsia" w:ascii="仿宋" w:hAnsi="仿宋" w:eastAsia="仿宋" w:cs="仿宋"/>
          <w:i w:val="0"/>
          <w:iCs w:val="0"/>
          <w:caps w:val="0"/>
          <w:color w:val="auto"/>
          <w:spacing w:val="9"/>
          <w:sz w:val="28"/>
          <w:szCs w:val="28"/>
          <w:shd w:val="clear" w:color="auto" w:fill="FFFFFF"/>
        </w:rPr>
        <w:t>《食品安全国家标准 食品添加剂使用标准》（GB 2760—2014）中规定，杨梅中不得使用糖精钠（以糖精计）。杨梅</w:t>
      </w:r>
      <w:r>
        <w:rPr>
          <w:rFonts w:hint="eastAsia" w:ascii="仿宋" w:hAnsi="仿宋" w:eastAsia="仿宋" w:cs="仿宋"/>
          <w:i w:val="0"/>
          <w:iCs w:val="0"/>
          <w:caps w:val="0"/>
          <w:color w:val="auto"/>
          <w:spacing w:val="9"/>
          <w:sz w:val="28"/>
          <w:szCs w:val="28"/>
          <w:shd w:val="clear" w:color="auto" w:fill="FFFFFF"/>
          <w:lang w:eastAsia="zh-CN"/>
        </w:rPr>
        <w:t>、盒装桑果</w:t>
      </w:r>
      <w:r>
        <w:rPr>
          <w:rFonts w:hint="eastAsia" w:ascii="仿宋" w:hAnsi="仿宋" w:eastAsia="仿宋" w:cs="仿宋"/>
          <w:i w:val="0"/>
          <w:iCs w:val="0"/>
          <w:caps w:val="0"/>
          <w:color w:val="auto"/>
          <w:spacing w:val="9"/>
          <w:sz w:val="28"/>
          <w:szCs w:val="28"/>
          <w:shd w:val="clear" w:color="auto" w:fill="FFFFFF"/>
        </w:rPr>
        <w:t>中检出糖精钠（以糖精计）的原因，可能是为增加产品甜度，而超范围使用甜味剂。</w:t>
      </w:r>
    </w:p>
    <w:p>
      <w:pPr>
        <w:pStyle w:val="3"/>
        <w:keepNext/>
        <w:keepLines/>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360" w:lineRule="auto"/>
        <w:ind w:left="0" w:right="0"/>
        <w:textAlignment w:val="auto"/>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罂粟碱</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textAlignment w:val="auto"/>
        <w:rPr>
          <w:rFonts w:hint="eastAsia" w:ascii="仿宋" w:hAnsi="仿宋" w:eastAsia="仿宋" w:cs="仿宋"/>
          <w:color w:val="auto"/>
          <w:kern w:val="0"/>
          <w:sz w:val="28"/>
          <w:szCs w:val="28"/>
          <w:shd w:val="clear" w:color="auto" w:fill="FFFFFF"/>
          <w:lang w:val="en-US" w:eastAsia="zh-CN" w:bidi="ar"/>
        </w:rPr>
      </w:pPr>
      <w:r>
        <w:rPr>
          <w:rFonts w:hint="eastAsia" w:ascii="仿宋" w:hAnsi="仿宋" w:eastAsia="仿宋" w:cs="仿宋"/>
          <w:color w:val="auto"/>
          <w:kern w:val="0"/>
          <w:sz w:val="28"/>
          <w:szCs w:val="28"/>
          <w:shd w:val="clear" w:color="auto" w:fill="FFFFFF"/>
          <w:lang w:val="en-US" w:eastAsia="zh-CN" w:bidi="ar"/>
        </w:rPr>
        <w:t>罂粟碱是临床用于治疗心血管痉挛等的处方药；吗啡，是鸦片类毒品的主要组成部分，长期食用者从心理上到生理上都会对其产生依赖性；可待因属于阿片类生物碱，是国家特殊管制的麻醉药品；蒂巴因可从罂粟分离出来，有麻醉作用。罂粟碱、吗啡、可待因、那可丁、蒂巴因等非法添加物，我国现行的食品安全法中明确规定了，“不得在食品生产中使用食品添加剂以外的化学物质和其他可能危害人体健康的物质”，且对于食品生产者也有较为严格的要求。</w:t>
      </w:r>
    </w:p>
    <w:p>
      <w:pPr>
        <w:pStyle w:val="3"/>
        <w:keepNext/>
        <w:keepLines/>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360" w:lineRule="auto"/>
        <w:ind w:left="0" w:right="0"/>
        <w:textAlignment w:val="auto"/>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那可丁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520" w:lineRule="exact"/>
        <w:ind w:left="0" w:right="0" w:firstLine="560" w:firstLineChars="200"/>
        <w:textAlignment w:val="auto"/>
        <w:rPr>
          <w:rFonts w:hint="eastAsia" w:ascii="仿宋" w:hAnsi="仿宋" w:eastAsia="仿宋" w:cs="仿宋"/>
          <w:color w:val="auto"/>
          <w:kern w:val="0"/>
          <w:sz w:val="28"/>
          <w:szCs w:val="28"/>
          <w:shd w:val="clear" w:color="auto" w:fill="FFFFFF"/>
          <w:lang w:val="en-US" w:eastAsia="zh-CN" w:bidi="ar"/>
        </w:rPr>
      </w:pPr>
      <w:r>
        <w:rPr>
          <w:rFonts w:hint="eastAsia" w:ascii="仿宋" w:hAnsi="仿宋" w:eastAsia="仿宋" w:cs="仿宋"/>
          <w:color w:val="auto"/>
          <w:kern w:val="0"/>
          <w:sz w:val="28"/>
          <w:szCs w:val="28"/>
          <w:shd w:val="clear" w:color="auto" w:fill="FFFFFF"/>
          <w:lang w:val="en-US" w:eastAsia="zh-CN" w:bidi="ar"/>
        </w:rPr>
        <w:t>罂粟壳，又名“御米壳”，俗称“米壳”。罂粟壳中含有可待因、罂粟碱、蒂巴因、那可丁等生物碱类物质。罂粟碱是临床用于治疗心血管痉挛等的处方药；可待因属于阿片类生物碱，是国家特殊管制的麻醉药品；蒂巴因可从罂粟分离出来，有麻醉作用。食品整治办[2008]3号《食品中可能违法添加的非食用物质和易滥用的食品添加剂品种名单（第一批）》中明确表示，罂粟壳为食品中可能违法添加的非食用物质。</w:t>
      </w:r>
    </w:p>
    <w:p>
      <w:pPr>
        <w:pStyle w:val="3"/>
        <w:keepNext/>
        <w:keepLines/>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Lines="0" w:beforeAutospacing="0" w:after="0" w:afterLines="0" w:afterAutospacing="0" w:line="360" w:lineRule="auto"/>
        <w:ind w:left="0" w:right="0"/>
        <w:textAlignment w:val="auto"/>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吗啡</w:t>
      </w:r>
    </w:p>
    <w:p>
      <w:pPr>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i w:val="0"/>
          <w:iCs w:val="0"/>
          <w:caps w:val="0"/>
          <w:color w:val="auto"/>
          <w:spacing w:val="0"/>
          <w:sz w:val="28"/>
          <w:szCs w:val="28"/>
          <w:shd w:val="clear" w:fill="FFFFFF"/>
        </w:rPr>
        <w:t>吗啡，是鸦片类毒品的主要组成部分，长期食用者从心理上到生理上都会对其产生依赖性；我国现行的食品安全法中明确规定了，“不得在食品生产中使用食品添加剂以外的化学物质和其他可能危害人体健康的物质”</w:t>
      </w:r>
      <w:r>
        <w:rPr>
          <w:rFonts w:hint="eastAsia" w:ascii="仿宋" w:hAnsi="仿宋" w:eastAsia="仿宋" w:cs="仿宋"/>
          <w:i w:val="0"/>
          <w:iCs w:val="0"/>
          <w:caps w:val="0"/>
          <w:color w:val="auto"/>
          <w:spacing w:val="0"/>
          <w:sz w:val="28"/>
          <w:szCs w:val="28"/>
          <w:shd w:val="clear" w:fill="FFFFFF"/>
          <w:lang w:eastAsia="zh-CN"/>
        </w:rPr>
        <w:t>。</w:t>
      </w:r>
    </w:p>
    <w:p>
      <w:pPr>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可待因</w:t>
      </w:r>
    </w:p>
    <w:p>
      <w:pPr>
        <w:pStyle w:val="2"/>
        <w:ind w:firstLine="560" w:firstLineChars="200"/>
        <w:rPr>
          <w:rFonts w:hint="default" w:ascii="仿宋" w:hAnsi="仿宋" w:eastAsia="仿宋" w:cs="仿宋"/>
          <w:i w:val="0"/>
          <w:iCs w:val="0"/>
          <w:caps w:val="0"/>
          <w:color w:val="auto"/>
          <w:spacing w:val="0"/>
          <w:kern w:val="2"/>
          <w:sz w:val="28"/>
          <w:szCs w:val="28"/>
          <w:shd w:val="clear" w:fill="FFFFFF"/>
          <w:lang w:val="en-US" w:eastAsia="zh-CN" w:bidi="ar-SA"/>
        </w:rPr>
      </w:pPr>
      <w:r>
        <w:rPr>
          <w:rFonts w:hint="eastAsia" w:ascii="仿宋" w:hAnsi="仿宋" w:eastAsia="仿宋" w:cs="仿宋"/>
          <w:i w:val="0"/>
          <w:iCs w:val="0"/>
          <w:caps w:val="0"/>
          <w:color w:val="auto"/>
          <w:spacing w:val="0"/>
          <w:kern w:val="2"/>
          <w:sz w:val="28"/>
          <w:szCs w:val="28"/>
          <w:shd w:val="clear" w:fill="FFFFFF"/>
          <w:lang w:val="en-US" w:eastAsia="zh-CN" w:bidi="ar-SA"/>
        </w:rPr>
        <w:t>可待因属于阿片类生物碱，是国家特殊管制的麻醉药品，我国现行的</w:t>
      </w:r>
      <w:r>
        <w:rPr>
          <w:rFonts w:hint="default" w:ascii="仿宋" w:hAnsi="仿宋" w:eastAsia="仿宋" w:cs="仿宋"/>
          <w:i w:val="0"/>
          <w:iCs w:val="0"/>
          <w:caps w:val="0"/>
          <w:color w:val="auto"/>
          <w:spacing w:val="0"/>
          <w:kern w:val="2"/>
          <w:sz w:val="28"/>
          <w:szCs w:val="28"/>
          <w:shd w:val="clear" w:fill="FFFFFF"/>
          <w:lang w:val="en-US" w:eastAsia="zh-CN" w:bidi="ar-SA"/>
        </w:rPr>
        <w:t>食品安全法中明确规定了，“不得在食品生产中使用食品添加剂以外的化学物质和其他可能危害人体健康的物质”</w:t>
      </w:r>
      <w:r>
        <w:rPr>
          <w:rFonts w:hint="eastAsia" w:ascii="仿宋" w:hAnsi="仿宋" w:eastAsia="仿宋" w:cs="仿宋"/>
          <w:i w:val="0"/>
          <w:iCs w:val="0"/>
          <w:caps w:val="0"/>
          <w:color w:val="auto"/>
          <w:spacing w:val="0"/>
          <w:kern w:val="2"/>
          <w:sz w:val="28"/>
          <w:szCs w:val="28"/>
          <w:shd w:val="clear" w:fill="FFFFFF"/>
          <w:lang w:val="en-US" w:eastAsia="zh-CN" w:bidi="ar-SA"/>
        </w:rPr>
        <w:t>。</w:t>
      </w:r>
    </w:p>
    <w:p>
      <w:pPr>
        <w:rPr>
          <w:rFonts w:hint="default" w:ascii="仿宋" w:hAnsi="仿宋" w:eastAsia="仿宋" w:cs="仿宋"/>
          <w:i w:val="0"/>
          <w:iCs w:val="0"/>
          <w:caps w:val="0"/>
          <w:color w:val="191919"/>
          <w:spacing w:val="0"/>
          <w:kern w:val="2"/>
          <w:sz w:val="28"/>
          <w:szCs w:val="28"/>
          <w:shd w:val="clear" w:fill="FFFFFF"/>
          <w:lang w:val="en-US" w:eastAsia="zh-CN" w:bidi="ar-SA"/>
        </w:rPr>
      </w:pPr>
    </w:p>
    <w:sectPr>
      <w:footerReference r:id="rId3" w:type="default"/>
      <w:footerReference r:id="rId4" w:type="even"/>
      <w:pgSz w:w="11906" w:h="16838"/>
      <w:pgMar w:top="1701" w:right="1474" w:bottom="1440"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ihtBdYBAACwAwAADgAAAAAAAAABACAAAAAe&#10;AQAAZHJzL2Uyb0RvYy54bWxQSwUGAAAAAAYABgBZAQAAZgUAAAAA&#10;">
              <v:fill on="f" focussize="0,0"/>
              <v:stroke on="f"/>
              <v:imagedata o:title=""/>
              <o:lock v:ext="edit" aspectratio="f"/>
              <v:textbox inset="0mm,0mm,0mm,0mm" style="mso-fit-shape-to-text:t;">
                <w:txbxContent>
                  <w:p>
                    <w:pPr>
                      <w:pStyle w:val="4"/>
                    </w:pPr>
                    <w:r>
                      <w:fldChar w:fldCharType="begin"/>
                    </w:r>
                    <w:r>
                      <w:instrText xml:space="preserve">PAGE  </w:instrText>
                    </w:r>
                    <w:r>
                      <w:fldChar w:fldCharType="separate"/>
                    </w:r>
                    <w:r>
                      <w:t>44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jY2I2OWIzNGUyMzFiN2E3MjdhNDA0YjMwYjgxZGUifQ=="/>
  </w:docVars>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B02DB"/>
    <w:rsid w:val="00CD5A92"/>
    <w:rsid w:val="00D07BD1"/>
    <w:rsid w:val="00DF1AD7"/>
    <w:rsid w:val="00F86406"/>
    <w:rsid w:val="00FD6984"/>
    <w:rsid w:val="01265791"/>
    <w:rsid w:val="012A350B"/>
    <w:rsid w:val="019D7A35"/>
    <w:rsid w:val="02867E41"/>
    <w:rsid w:val="02C55D7F"/>
    <w:rsid w:val="02F241BE"/>
    <w:rsid w:val="04E13310"/>
    <w:rsid w:val="092C4AFF"/>
    <w:rsid w:val="09FD7970"/>
    <w:rsid w:val="0A222B45"/>
    <w:rsid w:val="0A826A37"/>
    <w:rsid w:val="0C321039"/>
    <w:rsid w:val="0CF307C8"/>
    <w:rsid w:val="0D244780"/>
    <w:rsid w:val="0D485F3F"/>
    <w:rsid w:val="0DAD283C"/>
    <w:rsid w:val="0E0B1B42"/>
    <w:rsid w:val="0FEF7285"/>
    <w:rsid w:val="11BC275C"/>
    <w:rsid w:val="11BF336F"/>
    <w:rsid w:val="120633CA"/>
    <w:rsid w:val="12A04F4F"/>
    <w:rsid w:val="1586463E"/>
    <w:rsid w:val="16EF4AC1"/>
    <w:rsid w:val="199B54BB"/>
    <w:rsid w:val="19D11E91"/>
    <w:rsid w:val="1A30795F"/>
    <w:rsid w:val="1A3F0176"/>
    <w:rsid w:val="1A8E0FB6"/>
    <w:rsid w:val="1B54713D"/>
    <w:rsid w:val="1FCB7383"/>
    <w:rsid w:val="21E87D78"/>
    <w:rsid w:val="238166D6"/>
    <w:rsid w:val="23E21C62"/>
    <w:rsid w:val="25347E29"/>
    <w:rsid w:val="253669DA"/>
    <w:rsid w:val="255D2F0C"/>
    <w:rsid w:val="26DC1B93"/>
    <w:rsid w:val="29E86202"/>
    <w:rsid w:val="2C026ADB"/>
    <w:rsid w:val="2E810EF0"/>
    <w:rsid w:val="2E9D638E"/>
    <w:rsid w:val="2EBF4557"/>
    <w:rsid w:val="33A1247D"/>
    <w:rsid w:val="33C33DFE"/>
    <w:rsid w:val="349E3CC7"/>
    <w:rsid w:val="350E67DD"/>
    <w:rsid w:val="35AD4CA0"/>
    <w:rsid w:val="372E4FAF"/>
    <w:rsid w:val="37F61D15"/>
    <w:rsid w:val="38D97D93"/>
    <w:rsid w:val="39705F43"/>
    <w:rsid w:val="3BF33A92"/>
    <w:rsid w:val="3E4A33EC"/>
    <w:rsid w:val="40CB0CAD"/>
    <w:rsid w:val="41A0055D"/>
    <w:rsid w:val="42502180"/>
    <w:rsid w:val="425C7739"/>
    <w:rsid w:val="42756451"/>
    <w:rsid w:val="436A288B"/>
    <w:rsid w:val="43D309EF"/>
    <w:rsid w:val="44966006"/>
    <w:rsid w:val="4508235C"/>
    <w:rsid w:val="467A09FE"/>
    <w:rsid w:val="46863E7D"/>
    <w:rsid w:val="47D04DB1"/>
    <w:rsid w:val="48543305"/>
    <w:rsid w:val="495E7D08"/>
    <w:rsid w:val="496E39C3"/>
    <w:rsid w:val="4A1E617D"/>
    <w:rsid w:val="4A766ED9"/>
    <w:rsid w:val="4B0B4954"/>
    <w:rsid w:val="4B7E521D"/>
    <w:rsid w:val="4BAD1545"/>
    <w:rsid w:val="4E1E1B72"/>
    <w:rsid w:val="4EA65403"/>
    <w:rsid w:val="501F0259"/>
    <w:rsid w:val="50251217"/>
    <w:rsid w:val="50CC68E4"/>
    <w:rsid w:val="515B3813"/>
    <w:rsid w:val="51887234"/>
    <w:rsid w:val="51D02142"/>
    <w:rsid w:val="53CB4851"/>
    <w:rsid w:val="558964D6"/>
    <w:rsid w:val="56A65531"/>
    <w:rsid w:val="56B85264"/>
    <w:rsid w:val="56E83D9B"/>
    <w:rsid w:val="58135A48"/>
    <w:rsid w:val="58FF25A8"/>
    <w:rsid w:val="5A3F0176"/>
    <w:rsid w:val="5B3F7472"/>
    <w:rsid w:val="6082046E"/>
    <w:rsid w:val="60A045C4"/>
    <w:rsid w:val="63974C7A"/>
    <w:rsid w:val="65917FB1"/>
    <w:rsid w:val="65B65064"/>
    <w:rsid w:val="6683763C"/>
    <w:rsid w:val="67BC540F"/>
    <w:rsid w:val="67C577E1"/>
    <w:rsid w:val="688B0A2A"/>
    <w:rsid w:val="69676F39"/>
    <w:rsid w:val="6C903A7C"/>
    <w:rsid w:val="6D527D69"/>
    <w:rsid w:val="6F4359E9"/>
    <w:rsid w:val="70110FED"/>
    <w:rsid w:val="72B56FB2"/>
    <w:rsid w:val="741E2752"/>
    <w:rsid w:val="75C20495"/>
    <w:rsid w:val="76544B51"/>
    <w:rsid w:val="76633230"/>
    <w:rsid w:val="77FB4F01"/>
    <w:rsid w:val="786422F9"/>
    <w:rsid w:val="78F053E4"/>
    <w:rsid w:val="7C3A20F4"/>
    <w:rsid w:val="7CBD293F"/>
    <w:rsid w:val="7D8F6D5C"/>
    <w:rsid w:val="7E320B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0"/>
    <w:rPr>
      <w:b/>
    </w:rPr>
  </w:style>
  <w:style w:type="character" w:styleId="11">
    <w:name w:val="Hyperlink"/>
    <w:basedOn w:val="9"/>
    <w:unhideWhenUsed/>
    <w:qFormat/>
    <w:uiPriority w:val="99"/>
    <w:rPr>
      <w:color w:val="656565"/>
      <w:u w:val="none"/>
    </w:rPr>
  </w:style>
  <w:style w:type="character" w:customStyle="1" w:styleId="12">
    <w:name w:val="页眉 Char"/>
    <w:basedOn w:val="9"/>
    <w:link w:val="5"/>
    <w:qFormat/>
    <w:uiPriority w:val="0"/>
    <w:rPr>
      <w:rFonts w:ascii="Times New Roman" w:hAnsi="Times New Roman"/>
      <w:kern w:val="2"/>
      <w:sz w:val="18"/>
      <w:szCs w:val="18"/>
    </w:rPr>
  </w:style>
  <w:style w:type="paragraph" w:styleId="13">
    <w:name w:val="List Paragraph"/>
    <w:basedOn w:val="1"/>
    <w:unhideWhenUsed/>
    <w:qFormat/>
    <w:uiPriority w:val="99"/>
    <w:pPr>
      <w:ind w:firstLine="420" w:firstLineChars="200"/>
    </w:pPr>
  </w:style>
  <w:style w:type="character" w:customStyle="1" w:styleId="14">
    <w:name w:val="HTML 预设格式 Char"/>
    <w:basedOn w:val="9"/>
    <w:link w:val="6"/>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1911</Words>
  <Characters>1990</Characters>
  <Lines>24</Lines>
  <Paragraphs>6</Paragraphs>
  <TotalTime>100</TotalTime>
  <ScaleCrop>false</ScaleCrop>
  <LinksUpToDate>false</LinksUpToDate>
  <CharactersWithSpaces>2013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上善若水</cp:lastModifiedBy>
  <dcterms:modified xsi:type="dcterms:W3CDTF">2023-07-10T05:27:44Z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A800C5A9AD91409AB51AC4EA84984B60</vt:lpwstr>
  </property>
</Properties>
</file>