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7A917" w14:textId="77777777" w:rsidR="001B6036" w:rsidRDefault="007F549A">
      <w:pPr>
        <w:spacing w:line="560" w:lineRule="exact"/>
        <w:rPr>
          <w:rFonts w:ascii="黑体" w:eastAsia="黑体" w:hAnsi="ˎ̥" w:cs="Arial"/>
          <w:sz w:val="32"/>
          <w:szCs w:val="32"/>
        </w:rPr>
      </w:pPr>
      <w:r>
        <w:rPr>
          <w:rFonts w:ascii="黑体" w:eastAsia="黑体" w:hAnsi="ˎ̥" w:cs="Arial" w:hint="eastAsia"/>
          <w:sz w:val="32"/>
          <w:szCs w:val="32"/>
        </w:rPr>
        <w:t>附件</w:t>
      </w:r>
      <w:r w:rsidR="00AD6DEA">
        <w:rPr>
          <w:rFonts w:ascii="黑体" w:eastAsia="黑体" w:hAnsi="ˎ̥" w:cs="Arial"/>
          <w:sz w:val="32"/>
          <w:szCs w:val="32"/>
        </w:rPr>
        <w:t>3</w:t>
      </w:r>
    </w:p>
    <w:p w14:paraId="2F5EBEE8" w14:textId="77777777" w:rsidR="001B6036" w:rsidRDefault="007F549A">
      <w:pPr>
        <w:spacing w:line="560" w:lineRule="exact"/>
        <w:ind w:firstLineChars="750" w:firstLine="2700"/>
        <w:rPr>
          <w:rFonts w:ascii="黑体" w:eastAsia="黑体" w:hAnsi="宋体" w:cs="仿宋"/>
          <w:b/>
          <w:sz w:val="36"/>
          <w:szCs w:val="36"/>
          <w:shd w:val="clear" w:color="auto" w:fill="FFFFFF"/>
        </w:rPr>
      </w:pPr>
      <w:r>
        <w:rPr>
          <w:rFonts w:ascii="黑体" w:eastAsia="黑体" w:hAnsi="ˎ̥" w:cs="Arial" w:hint="eastAsia"/>
          <w:sz w:val="36"/>
          <w:szCs w:val="36"/>
        </w:rPr>
        <w:t>关于部分检验项目的说明</w:t>
      </w:r>
    </w:p>
    <w:p w14:paraId="60CEA52B" w14:textId="77777777" w:rsidR="001B6036" w:rsidRDefault="007F549A">
      <w:pPr>
        <w:pStyle w:val="a7"/>
        <w:spacing w:before="0" w:beforeAutospacing="0" w:after="225" w:afterAutospacing="0"/>
        <w:ind w:right="45"/>
        <w:rPr>
          <w:rFonts w:ascii="仿宋" w:eastAsia="仿宋" w:hAnsi="仿宋" w:cs="仿宋"/>
          <w:b/>
          <w:bCs/>
          <w:sz w:val="32"/>
          <w:szCs w:val="32"/>
          <w:shd w:val="clear" w:color="auto" w:fill="FFFFFF"/>
          <w:lang w:bidi="ar"/>
        </w:rPr>
      </w:pPr>
      <w:r>
        <w:rPr>
          <w:rFonts w:ascii="仿宋" w:eastAsia="仿宋" w:hAnsi="仿宋" w:cs="仿宋" w:hint="eastAsia"/>
          <w:b/>
          <w:bCs/>
          <w:sz w:val="32"/>
          <w:szCs w:val="32"/>
          <w:shd w:val="clear" w:color="auto" w:fill="FFFFFF"/>
          <w:lang w:bidi="ar"/>
        </w:rPr>
        <w:t>6-</w:t>
      </w:r>
      <w:r>
        <w:rPr>
          <w:rFonts w:ascii="仿宋" w:eastAsia="仿宋" w:hAnsi="仿宋" w:cs="仿宋" w:hint="eastAsia"/>
          <w:b/>
          <w:bCs/>
          <w:sz w:val="32"/>
          <w:szCs w:val="32"/>
          <w:shd w:val="clear" w:color="auto" w:fill="FFFFFF"/>
          <w:lang w:bidi="ar"/>
        </w:rPr>
        <w:t>苄基腺嘌呤（</w:t>
      </w:r>
      <w:r>
        <w:rPr>
          <w:rFonts w:ascii="仿宋" w:eastAsia="仿宋" w:hAnsi="仿宋" w:cs="仿宋" w:hint="eastAsia"/>
          <w:b/>
          <w:bCs/>
          <w:sz w:val="32"/>
          <w:szCs w:val="32"/>
          <w:shd w:val="clear" w:color="auto" w:fill="FFFFFF"/>
          <w:lang w:bidi="ar"/>
        </w:rPr>
        <w:t>6-BA</w:t>
      </w:r>
      <w:r>
        <w:rPr>
          <w:rFonts w:ascii="仿宋" w:eastAsia="仿宋" w:hAnsi="仿宋" w:cs="仿宋" w:hint="eastAsia"/>
          <w:b/>
          <w:bCs/>
          <w:sz w:val="32"/>
          <w:szCs w:val="32"/>
          <w:shd w:val="clear" w:color="auto" w:fill="FFFFFF"/>
          <w:lang w:bidi="ar"/>
        </w:rPr>
        <w:t>）</w:t>
      </w:r>
    </w:p>
    <w:p w14:paraId="72A3491F" w14:textId="77777777" w:rsidR="001B6036" w:rsidRDefault="007F549A">
      <w:pPr>
        <w:pStyle w:val="a7"/>
        <w:spacing w:before="0" w:beforeAutospacing="0" w:after="0" w:afterAutospacing="0" w:line="360" w:lineRule="auto"/>
        <w:ind w:firstLineChars="200" w:firstLine="560"/>
        <w:rPr>
          <w:rFonts w:ascii="仿宋" w:eastAsia="仿宋" w:hAnsi="仿宋" w:cs="仿宋"/>
          <w:sz w:val="28"/>
          <w:szCs w:val="28"/>
        </w:rPr>
      </w:pPr>
      <w:r>
        <w:rPr>
          <w:rFonts w:ascii="仿宋" w:eastAsia="仿宋" w:hAnsi="仿宋" w:cs="仿宋" w:hint="eastAsia"/>
          <w:sz w:val="28"/>
          <w:szCs w:val="28"/>
        </w:rPr>
        <w:t>6-</w:t>
      </w:r>
      <w:r>
        <w:rPr>
          <w:rFonts w:ascii="仿宋" w:eastAsia="仿宋" w:hAnsi="仿宋" w:cs="仿宋" w:hint="eastAsia"/>
          <w:sz w:val="28"/>
          <w:szCs w:val="28"/>
        </w:rPr>
        <w:t>苄基腺嘌呤</w:t>
      </w:r>
      <w:r>
        <w:rPr>
          <w:rFonts w:ascii="仿宋" w:eastAsia="仿宋" w:hAnsi="仿宋" w:cs="仿宋" w:hint="eastAsia"/>
          <w:sz w:val="28"/>
          <w:szCs w:val="28"/>
        </w:rPr>
        <w:t>(6-BA)</w:t>
      </w:r>
      <w:r>
        <w:rPr>
          <w:rFonts w:ascii="仿宋" w:eastAsia="仿宋" w:hAnsi="仿宋" w:cs="仿宋" w:hint="eastAsia"/>
          <w:sz w:val="28"/>
          <w:szCs w:val="28"/>
        </w:rPr>
        <w:t>是一种植物生长调节剂，曾在豆芽生产中被广泛使用，由于其对人体有一定积累毒性，《国家食品药品监督管理总局</w:t>
      </w:r>
      <w:r>
        <w:rPr>
          <w:rFonts w:ascii="仿宋" w:eastAsia="仿宋" w:hAnsi="仿宋" w:cs="仿宋" w:hint="eastAsia"/>
          <w:sz w:val="28"/>
          <w:szCs w:val="28"/>
        </w:rPr>
        <w:t xml:space="preserve"> </w:t>
      </w:r>
      <w:r>
        <w:rPr>
          <w:rFonts w:ascii="仿宋" w:eastAsia="仿宋" w:hAnsi="仿宋" w:cs="仿宋" w:hint="eastAsia"/>
          <w:sz w:val="28"/>
          <w:szCs w:val="28"/>
        </w:rPr>
        <w:t>农业部</w:t>
      </w:r>
      <w:r>
        <w:rPr>
          <w:rFonts w:ascii="仿宋" w:eastAsia="仿宋" w:hAnsi="仿宋" w:cs="仿宋" w:hint="eastAsia"/>
          <w:sz w:val="28"/>
          <w:szCs w:val="28"/>
        </w:rPr>
        <w:t xml:space="preserve"> </w:t>
      </w:r>
      <w:r>
        <w:rPr>
          <w:rFonts w:ascii="仿宋" w:eastAsia="仿宋" w:hAnsi="仿宋" w:cs="仿宋" w:hint="eastAsia"/>
          <w:sz w:val="28"/>
          <w:szCs w:val="28"/>
        </w:rPr>
        <w:t>国家卫生和计划生育委员会关于豆芽生产过程中禁止使用</w:t>
      </w:r>
      <w:r>
        <w:rPr>
          <w:rFonts w:ascii="仿宋" w:eastAsia="仿宋" w:hAnsi="仿宋" w:cs="仿宋" w:hint="eastAsia"/>
          <w:sz w:val="28"/>
          <w:szCs w:val="28"/>
        </w:rPr>
        <w:t>6-</w:t>
      </w:r>
      <w:r>
        <w:rPr>
          <w:rFonts w:ascii="仿宋" w:eastAsia="仿宋" w:hAnsi="仿宋" w:cs="仿宋" w:hint="eastAsia"/>
          <w:sz w:val="28"/>
          <w:szCs w:val="28"/>
        </w:rPr>
        <w:t>苄基腺嘌呤等物质的公告》（</w:t>
      </w:r>
      <w:r>
        <w:rPr>
          <w:rFonts w:ascii="仿宋" w:eastAsia="仿宋" w:hAnsi="仿宋" w:cs="仿宋" w:hint="eastAsia"/>
          <w:sz w:val="28"/>
          <w:szCs w:val="28"/>
        </w:rPr>
        <w:t>2015</w:t>
      </w:r>
      <w:r>
        <w:rPr>
          <w:rFonts w:ascii="仿宋" w:eastAsia="仿宋" w:hAnsi="仿宋" w:cs="仿宋" w:hint="eastAsia"/>
          <w:sz w:val="28"/>
          <w:szCs w:val="28"/>
        </w:rPr>
        <w:t>年</w:t>
      </w:r>
      <w:r>
        <w:rPr>
          <w:rFonts w:ascii="仿宋" w:eastAsia="仿宋" w:hAnsi="仿宋" w:cs="仿宋" w:hint="eastAsia"/>
          <w:sz w:val="28"/>
          <w:szCs w:val="28"/>
        </w:rPr>
        <w:t xml:space="preserve"> </w:t>
      </w:r>
      <w:r>
        <w:rPr>
          <w:rFonts w:ascii="仿宋" w:eastAsia="仿宋" w:hAnsi="仿宋" w:cs="仿宋" w:hint="eastAsia"/>
          <w:sz w:val="28"/>
          <w:szCs w:val="28"/>
        </w:rPr>
        <w:t>第</w:t>
      </w:r>
      <w:r>
        <w:rPr>
          <w:rFonts w:ascii="仿宋" w:eastAsia="仿宋" w:hAnsi="仿宋" w:cs="仿宋" w:hint="eastAsia"/>
          <w:sz w:val="28"/>
          <w:szCs w:val="28"/>
        </w:rPr>
        <w:t>11</w:t>
      </w:r>
      <w:r>
        <w:rPr>
          <w:rFonts w:ascii="仿宋" w:eastAsia="仿宋" w:hAnsi="仿宋" w:cs="仿宋" w:hint="eastAsia"/>
          <w:sz w:val="28"/>
          <w:szCs w:val="28"/>
        </w:rPr>
        <w:t>号）中规定，生产者不得在豆芽生产过程中使用</w:t>
      </w:r>
      <w:r>
        <w:rPr>
          <w:rFonts w:ascii="仿宋" w:eastAsia="仿宋" w:hAnsi="仿宋" w:cs="仿宋" w:hint="eastAsia"/>
          <w:sz w:val="28"/>
          <w:szCs w:val="28"/>
        </w:rPr>
        <w:t>6-</w:t>
      </w:r>
      <w:r>
        <w:rPr>
          <w:rFonts w:ascii="仿宋" w:eastAsia="仿宋" w:hAnsi="仿宋" w:cs="仿宋" w:hint="eastAsia"/>
          <w:sz w:val="28"/>
          <w:szCs w:val="28"/>
        </w:rPr>
        <w:t>苄基腺嘌呤</w:t>
      </w:r>
      <w:r>
        <w:rPr>
          <w:rFonts w:ascii="仿宋" w:eastAsia="仿宋" w:hAnsi="仿宋" w:cs="仿宋" w:hint="eastAsia"/>
          <w:sz w:val="28"/>
          <w:szCs w:val="28"/>
        </w:rPr>
        <w:t>(6-BA)</w:t>
      </w:r>
      <w:r>
        <w:rPr>
          <w:rFonts w:ascii="仿宋" w:eastAsia="仿宋" w:hAnsi="仿宋" w:cs="仿宋" w:hint="eastAsia"/>
          <w:sz w:val="28"/>
          <w:szCs w:val="28"/>
        </w:rPr>
        <w:t>物质，豆芽经营者不得经营含有</w:t>
      </w:r>
      <w:r>
        <w:rPr>
          <w:rFonts w:ascii="仿宋" w:eastAsia="仿宋" w:hAnsi="仿宋" w:cs="仿宋" w:hint="eastAsia"/>
          <w:sz w:val="28"/>
          <w:szCs w:val="28"/>
        </w:rPr>
        <w:t>6-</w:t>
      </w:r>
      <w:r>
        <w:rPr>
          <w:rFonts w:ascii="仿宋" w:eastAsia="仿宋" w:hAnsi="仿宋" w:cs="仿宋" w:hint="eastAsia"/>
          <w:sz w:val="28"/>
          <w:szCs w:val="28"/>
        </w:rPr>
        <w:t>苄基腺嘌呤</w:t>
      </w:r>
      <w:r>
        <w:rPr>
          <w:rFonts w:ascii="仿宋" w:eastAsia="仿宋" w:hAnsi="仿宋" w:cs="仿宋" w:hint="eastAsia"/>
          <w:sz w:val="28"/>
          <w:szCs w:val="28"/>
        </w:rPr>
        <w:t>(6-BA)</w:t>
      </w:r>
      <w:r>
        <w:rPr>
          <w:rFonts w:ascii="仿宋" w:eastAsia="仿宋" w:hAnsi="仿宋" w:cs="仿宋" w:hint="eastAsia"/>
          <w:sz w:val="28"/>
          <w:szCs w:val="28"/>
        </w:rPr>
        <w:t>物质的豆芽。生产者为了抑制豆芽生根，提高豆芽产量而违规使用，导致在豆芽中检出</w:t>
      </w:r>
      <w:r>
        <w:rPr>
          <w:rFonts w:ascii="仿宋" w:eastAsia="仿宋" w:hAnsi="仿宋" w:cs="仿宋" w:hint="eastAsia"/>
          <w:sz w:val="28"/>
          <w:szCs w:val="28"/>
        </w:rPr>
        <w:t>6-</w:t>
      </w:r>
      <w:r>
        <w:rPr>
          <w:rFonts w:ascii="仿宋" w:eastAsia="仿宋" w:hAnsi="仿宋" w:cs="仿宋" w:hint="eastAsia"/>
          <w:sz w:val="28"/>
          <w:szCs w:val="28"/>
        </w:rPr>
        <w:t>苄基腺嘌呤</w:t>
      </w:r>
      <w:r>
        <w:rPr>
          <w:rFonts w:ascii="仿宋" w:eastAsia="仿宋" w:hAnsi="仿宋" w:cs="仿宋" w:hint="eastAsia"/>
          <w:sz w:val="28"/>
          <w:szCs w:val="28"/>
        </w:rPr>
        <w:t>(6-BA)</w:t>
      </w:r>
      <w:r>
        <w:rPr>
          <w:rFonts w:ascii="仿宋" w:eastAsia="仿宋" w:hAnsi="仿宋" w:cs="仿宋" w:hint="eastAsia"/>
          <w:sz w:val="28"/>
          <w:szCs w:val="28"/>
        </w:rPr>
        <w:t>。</w:t>
      </w:r>
    </w:p>
    <w:p w14:paraId="7D3916AE" w14:textId="77777777" w:rsidR="001B6036" w:rsidRDefault="007F549A">
      <w:pPr>
        <w:pStyle w:val="a7"/>
        <w:spacing w:before="0" w:beforeAutospacing="0" w:after="225" w:afterAutospacing="0"/>
        <w:ind w:right="45"/>
        <w:rPr>
          <w:rFonts w:ascii="仿宋" w:eastAsia="仿宋" w:hAnsi="仿宋" w:cs="仿宋"/>
          <w:b/>
          <w:bCs/>
          <w:sz w:val="32"/>
          <w:szCs w:val="32"/>
          <w:shd w:val="clear" w:color="auto" w:fill="FFFFFF"/>
          <w:lang w:bidi="ar"/>
        </w:rPr>
      </w:pPr>
      <w:r>
        <w:rPr>
          <w:rFonts w:ascii="仿宋" w:eastAsia="仿宋" w:hAnsi="仿宋" w:cs="仿宋" w:hint="eastAsia"/>
          <w:b/>
          <w:bCs/>
          <w:sz w:val="32"/>
          <w:szCs w:val="32"/>
          <w:shd w:val="clear" w:color="auto" w:fill="FFFFFF"/>
          <w:lang w:bidi="ar"/>
        </w:rPr>
        <w:t>4-</w:t>
      </w:r>
      <w:r>
        <w:rPr>
          <w:rFonts w:ascii="仿宋" w:eastAsia="仿宋" w:hAnsi="仿宋" w:cs="仿宋" w:hint="eastAsia"/>
          <w:b/>
          <w:bCs/>
          <w:sz w:val="32"/>
          <w:szCs w:val="32"/>
          <w:shd w:val="clear" w:color="auto" w:fill="FFFFFF"/>
          <w:lang w:bidi="ar"/>
        </w:rPr>
        <w:t>氯苯氧乙酸钠（以</w:t>
      </w:r>
      <w:r>
        <w:rPr>
          <w:rFonts w:ascii="仿宋" w:eastAsia="仿宋" w:hAnsi="仿宋" w:cs="仿宋" w:hint="eastAsia"/>
          <w:b/>
          <w:bCs/>
          <w:sz w:val="32"/>
          <w:szCs w:val="32"/>
          <w:shd w:val="clear" w:color="auto" w:fill="FFFFFF"/>
          <w:lang w:bidi="ar"/>
        </w:rPr>
        <w:t>4-</w:t>
      </w:r>
      <w:r>
        <w:rPr>
          <w:rFonts w:ascii="仿宋" w:eastAsia="仿宋" w:hAnsi="仿宋" w:cs="仿宋" w:hint="eastAsia"/>
          <w:b/>
          <w:bCs/>
          <w:sz w:val="32"/>
          <w:szCs w:val="32"/>
          <w:shd w:val="clear" w:color="auto" w:fill="FFFFFF"/>
          <w:lang w:bidi="ar"/>
        </w:rPr>
        <w:t>氯苯氧乙酸计）</w:t>
      </w:r>
    </w:p>
    <w:p w14:paraId="12280B1F" w14:textId="77777777" w:rsidR="001B6036" w:rsidRDefault="007F549A">
      <w:pPr>
        <w:pStyle w:val="a7"/>
        <w:spacing w:before="0" w:beforeAutospacing="0" w:after="0" w:afterAutospacing="0" w:line="360" w:lineRule="auto"/>
        <w:ind w:firstLineChars="200" w:firstLine="560"/>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hint="eastAsia"/>
          <w:sz w:val="28"/>
          <w:szCs w:val="28"/>
        </w:rPr>
        <w:t>氯苯氧乙酸钠，是一种植物生长调节剂。主要用于防止落花落果、抑制豆类生根等，并能调节植物株内激素的平衡。但由于其对人体有一定积累毒性，豆芽中检出</w:t>
      </w:r>
      <w:r>
        <w:rPr>
          <w:rFonts w:ascii="仿宋" w:eastAsia="仿宋" w:hAnsi="仿宋" w:cs="仿宋" w:hint="eastAsia"/>
          <w:sz w:val="28"/>
          <w:szCs w:val="28"/>
        </w:rPr>
        <w:t>4-</w:t>
      </w:r>
      <w:r>
        <w:rPr>
          <w:rFonts w:ascii="仿宋" w:eastAsia="仿宋" w:hAnsi="仿宋" w:cs="仿宋" w:hint="eastAsia"/>
          <w:sz w:val="28"/>
          <w:szCs w:val="28"/>
        </w:rPr>
        <w:t>氯苯氧乙酸钠可能是由于豆芽生产商在生产过程中为了抑制豆芽生根，提高豆芽产量而违规使用。国</w:t>
      </w:r>
      <w:r>
        <w:rPr>
          <w:rFonts w:ascii="仿宋" w:eastAsia="仿宋" w:hAnsi="仿宋" w:cs="仿宋" w:hint="eastAsia"/>
          <w:sz w:val="28"/>
          <w:szCs w:val="28"/>
        </w:rPr>
        <w:t>家食品药品监督管理总局、农业部、国家卫生和计划生育委员会关于豆芽生产过程中禁止使用</w:t>
      </w:r>
      <w:r>
        <w:rPr>
          <w:rFonts w:ascii="仿宋" w:eastAsia="仿宋" w:hAnsi="仿宋" w:cs="仿宋" w:hint="eastAsia"/>
          <w:sz w:val="28"/>
          <w:szCs w:val="28"/>
        </w:rPr>
        <w:t>6-</w:t>
      </w:r>
      <w:r>
        <w:rPr>
          <w:rFonts w:ascii="仿宋" w:eastAsia="仿宋" w:hAnsi="仿宋" w:cs="仿宋" w:hint="eastAsia"/>
          <w:sz w:val="28"/>
          <w:szCs w:val="28"/>
        </w:rPr>
        <w:t>苄基腺嘌呤等物质的公告（</w:t>
      </w:r>
      <w:r>
        <w:rPr>
          <w:rFonts w:ascii="仿宋" w:eastAsia="仿宋" w:hAnsi="仿宋" w:cs="仿宋" w:hint="eastAsia"/>
          <w:sz w:val="28"/>
          <w:szCs w:val="28"/>
        </w:rPr>
        <w:t>2015</w:t>
      </w:r>
      <w:r>
        <w:rPr>
          <w:rFonts w:ascii="仿宋" w:eastAsia="仿宋" w:hAnsi="仿宋" w:cs="仿宋" w:hint="eastAsia"/>
          <w:sz w:val="28"/>
          <w:szCs w:val="28"/>
        </w:rPr>
        <w:t>年第</w:t>
      </w:r>
      <w:r>
        <w:rPr>
          <w:rFonts w:ascii="仿宋" w:eastAsia="仿宋" w:hAnsi="仿宋" w:cs="仿宋" w:hint="eastAsia"/>
          <w:sz w:val="28"/>
          <w:szCs w:val="28"/>
        </w:rPr>
        <w:t>11</w:t>
      </w:r>
      <w:r>
        <w:rPr>
          <w:rFonts w:ascii="仿宋" w:eastAsia="仿宋" w:hAnsi="仿宋" w:cs="仿宋" w:hint="eastAsia"/>
          <w:sz w:val="28"/>
          <w:szCs w:val="28"/>
        </w:rPr>
        <w:t>号）规定豆芽生产经营过程中禁止使用</w:t>
      </w:r>
      <w:r>
        <w:rPr>
          <w:rFonts w:ascii="仿宋" w:eastAsia="仿宋" w:hAnsi="仿宋" w:cs="仿宋" w:hint="eastAsia"/>
          <w:sz w:val="28"/>
          <w:szCs w:val="28"/>
        </w:rPr>
        <w:t>4-</w:t>
      </w:r>
      <w:r>
        <w:rPr>
          <w:rFonts w:ascii="仿宋" w:eastAsia="仿宋" w:hAnsi="仿宋" w:cs="仿宋" w:hint="eastAsia"/>
          <w:sz w:val="28"/>
          <w:szCs w:val="28"/>
        </w:rPr>
        <w:t>氯苯氧乙酸钠。每天食用这样的黄豆芽，可能会对人体健康产生风险。</w:t>
      </w:r>
    </w:p>
    <w:p w14:paraId="253F6C1F" w14:textId="77777777" w:rsidR="001B6036" w:rsidRDefault="007F549A">
      <w:pPr>
        <w:pStyle w:val="a7"/>
        <w:spacing w:before="0" w:beforeAutospacing="0" w:after="0" w:afterAutospacing="0" w:line="360" w:lineRule="auto"/>
        <w:rPr>
          <w:rFonts w:ascii="仿宋" w:eastAsia="仿宋" w:hAnsi="仿宋" w:cs="仿宋"/>
          <w:b/>
          <w:bCs/>
          <w:sz w:val="32"/>
          <w:szCs w:val="32"/>
          <w:shd w:val="clear" w:color="auto" w:fill="FFFFFF"/>
          <w:lang w:bidi="ar"/>
        </w:rPr>
      </w:pPr>
      <w:r>
        <w:rPr>
          <w:rFonts w:ascii="仿宋" w:eastAsia="仿宋" w:hAnsi="仿宋" w:cs="仿宋" w:hint="eastAsia"/>
          <w:b/>
          <w:bCs/>
          <w:sz w:val="32"/>
          <w:szCs w:val="32"/>
          <w:shd w:val="clear" w:color="auto" w:fill="FFFFFF"/>
          <w:lang w:bidi="ar"/>
        </w:rPr>
        <w:t>吡虫啉</w:t>
      </w:r>
    </w:p>
    <w:p w14:paraId="0D239C29" w14:textId="77777777" w:rsidR="001B6036" w:rsidRDefault="007F549A">
      <w:pPr>
        <w:pStyle w:val="a7"/>
        <w:spacing w:before="0" w:beforeAutospacing="0" w:after="0" w:afterAutospacing="0" w:line="360" w:lineRule="auto"/>
        <w:ind w:firstLineChars="200" w:firstLine="560"/>
        <w:rPr>
          <w:rFonts w:ascii="仿宋" w:eastAsia="仿宋" w:hAnsi="仿宋" w:cs="仿宋"/>
          <w:sz w:val="28"/>
          <w:szCs w:val="28"/>
        </w:rPr>
      </w:pPr>
      <w:r>
        <w:rPr>
          <w:rFonts w:ascii="仿宋" w:eastAsia="仿宋" w:hAnsi="仿宋" w:cs="仿宋" w:hint="eastAsia"/>
          <w:sz w:val="28"/>
          <w:szCs w:val="28"/>
        </w:rPr>
        <w:lastRenderedPageBreak/>
        <w:t>是烟碱类超高效杀虫剂，具有广谱、高效、低毒、低残留，害虫不易产生抗性，并有触杀、胃毒和内吸等多重作用。害虫接触药剂后，中枢神经正常传导受阻，使其麻痹死亡。产品速效性好，药后</w:t>
      </w:r>
      <w:r>
        <w:rPr>
          <w:rFonts w:ascii="仿宋" w:eastAsia="仿宋" w:hAnsi="仿宋" w:cs="仿宋" w:hint="eastAsia"/>
          <w:sz w:val="28"/>
          <w:szCs w:val="28"/>
        </w:rPr>
        <w:t>1</w:t>
      </w:r>
      <w:r>
        <w:rPr>
          <w:rFonts w:ascii="仿宋" w:eastAsia="仿宋" w:hAnsi="仿宋" w:cs="仿宋" w:hint="eastAsia"/>
          <w:sz w:val="28"/>
          <w:szCs w:val="28"/>
        </w:rPr>
        <w:t>天即有较高的防效，残留期长达</w:t>
      </w:r>
      <w:r>
        <w:rPr>
          <w:rFonts w:ascii="仿宋" w:eastAsia="仿宋" w:hAnsi="仿宋" w:cs="仿宋" w:hint="eastAsia"/>
          <w:sz w:val="28"/>
          <w:szCs w:val="28"/>
        </w:rPr>
        <w:t>25</w:t>
      </w:r>
      <w:r>
        <w:rPr>
          <w:rFonts w:ascii="仿宋" w:eastAsia="仿宋" w:hAnsi="仿宋" w:cs="仿宋" w:hint="eastAsia"/>
          <w:sz w:val="28"/>
          <w:szCs w:val="28"/>
        </w:rPr>
        <w:t>天左右。药效和温度呈正相关，温度高，杀虫效果好。主要用于防治刺吸式口器</w:t>
      </w:r>
      <w:r>
        <w:rPr>
          <w:rFonts w:ascii="仿宋" w:eastAsia="仿宋" w:hAnsi="仿宋" w:cs="仿宋" w:hint="eastAsia"/>
          <w:sz w:val="28"/>
          <w:szCs w:val="28"/>
        </w:rPr>
        <w:t>害虫，不慎食用和长期过量食用吡虫啉超标的作物对人体有害。</w:t>
      </w:r>
      <w:r>
        <w:rPr>
          <w:rFonts w:ascii="仿宋" w:eastAsia="仿宋" w:hAnsi="仿宋" w:cs="仿宋" w:hint="eastAsia"/>
          <w:sz w:val="28"/>
          <w:szCs w:val="28"/>
        </w:rPr>
        <w:t>产生原因：</w:t>
      </w:r>
      <w:r>
        <w:rPr>
          <w:rFonts w:ascii="仿宋" w:eastAsia="仿宋" w:hAnsi="仿宋" w:cs="仿宋" w:hint="eastAsia"/>
          <w:sz w:val="28"/>
          <w:szCs w:val="28"/>
        </w:rPr>
        <w:t>食用农产品中</w:t>
      </w:r>
      <w:r>
        <w:rPr>
          <w:rFonts w:ascii="仿宋" w:eastAsia="仿宋" w:hAnsi="仿宋" w:cs="仿宋" w:hint="eastAsia"/>
          <w:sz w:val="28"/>
          <w:szCs w:val="28"/>
        </w:rPr>
        <w:t>吡虫啉</w:t>
      </w:r>
      <w:r>
        <w:rPr>
          <w:rFonts w:ascii="仿宋" w:eastAsia="仿宋" w:hAnsi="仿宋" w:cs="仿宋" w:hint="eastAsia"/>
          <w:sz w:val="28"/>
          <w:szCs w:val="28"/>
        </w:rPr>
        <w:t>超标系种殖过程过量使用所致。</w:t>
      </w:r>
    </w:p>
    <w:p w14:paraId="2A2A7B88" w14:textId="77777777" w:rsidR="001B6036" w:rsidRDefault="007F549A">
      <w:pPr>
        <w:pStyle w:val="a7"/>
        <w:spacing w:before="0" w:beforeAutospacing="0" w:after="0" w:afterAutospacing="0" w:line="360" w:lineRule="auto"/>
        <w:rPr>
          <w:rFonts w:ascii="仿宋" w:eastAsia="仿宋" w:hAnsi="仿宋" w:cs="仿宋"/>
          <w:b/>
          <w:bCs/>
          <w:sz w:val="32"/>
          <w:szCs w:val="32"/>
          <w:shd w:val="clear" w:color="auto" w:fill="FFFFFF"/>
          <w:lang w:bidi="ar"/>
        </w:rPr>
      </w:pPr>
      <w:r>
        <w:rPr>
          <w:rFonts w:ascii="仿宋" w:eastAsia="仿宋" w:hAnsi="仿宋" w:cs="仿宋" w:hint="eastAsia"/>
          <w:b/>
          <w:bCs/>
          <w:sz w:val="32"/>
          <w:szCs w:val="32"/>
          <w:shd w:val="clear" w:color="auto" w:fill="FFFFFF"/>
          <w:lang w:bidi="ar"/>
        </w:rPr>
        <w:t>噻虫嗪</w:t>
      </w:r>
    </w:p>
    <w:p w14:paraId="3AD1D172" w14:textId="77777777" w:rsidR="001B6036" w:rsidRDefault="007F549A">
      <w:pPr>
        <w:pStyle w:val="a7"/>
        <w:spacing w:before="0" w:beforeAutospacing="0" w:after="0" w:afterAutospacing="0" w:line="360" w:lineRule="auto"/>
        <w:ind w:firstLineChars="200" w:firstLine="560"/>
        <w:rPr>
          <w:rFonts w:ascii="仿宋" w:eastAsia="仿宋" w:hAnsi="仿宋" w:cs="仿宋"/>
          <w:sz w:val="28"/>
          <w:szCs w:val="28"/>
        </w:rPr>
      </w:pPr>
      <w:r>
        <w:rPr>
          <w:rFonts w:ascii="仿宋" w:eastAsia="仿宋" w:hAnsi="仿宋" w:cs="仿宋" w:hint="eastAsia"/>
          <w:sz w:val="28"/>
          <w:szCs w:val="28"/>
        </w:rPr>
        <w:t>噻虫嗪是第二代新烟碱类杀虫剂，不仅具有触杀、胃毒、内吸活性，而且具有高效、光谱及作用速度快、持效期长等特点，被广泛应用于农业和畜牧业。长期食用噻虫嗪残留超标的食品，对人体健康有一定影响。</w:t>
      </w:r>
    </w:p>
    <w:p w14:paraId="1E5CCF5E" w14:textId="77777777" w:rsidR="001B6036" w:rsidRDefault="007F549A">
      <w:pPr>
        <w:pStyle w:val="a7"/>
        <w:spacing w:before="0" w:beforeAutospacing="0" w:after="0" w:afterAutospacing="0" w:line="360" w:lineRule="auto"/>
        <w:rPr>
          <w:rFonts w:ascii="仿宋" w:eastAsia="仿宋" w:hAnsi="仿宋" w:cs="仿宋"/>
          <w:b/>
          <w:bCs/>
          <w:sz w:val="32"/>
          <w:szCs w:val="32"/>
          <w:shd w:val="clear" w:color="auto" w:fill="FFFFFF"/>
          <w:lang w:bidi="ar"/>
        </w:rPr>
      </w:pPr>
      <w:r>
        <w:rPr>
          <w:rFonts w:ascii="仿宋" w:eastAsia="仿宋" w:hAnsi="仿宋" w:cs="仿宋" w:hint="eastAsia"/>
          <w:b/>
          <w:bCs/>
          <w:sz w:val="32"/>
          <w:szCs w:val="32"/>
          <w:shd w:val="clear" w:color="auto" w:fill="FFFFFF"/>
          <w:lang w:bidi="ar"/>
        </w:rPr>
        <w:t>脱氢乙酸及其钠盐（以脱氢乙酸计）</w:t>
      </w:r>
      <w:r>
        <w:rPr>
          <w:rFonts w:ascii="仿宋" w:eastAsia="仿宋" w:hAnsi="仿宋" w:cs="仿宋" w:hint="eastAsia"/>
          <w:b/>
          <w:bCs/>
          <w:sz w:val="32"/>
          <w:szCs w:val="32"/>
          <w:shd w:val="clear" w:color="auto" w:fill="FFFFFF"/>
          <w:lang w:bidi="ar"/>
        </w:rPr>
        <w:t xml:space="preserve"> </w:t>
      </w:r>
    </w:p>
    <w:p w14:paraId="698C1187" w14:textId="77777777" w:rsidR="001B6036" w:rsidRDefault="007F549A">
      <w:pPr>
        <w:pStyle w:val="a7"/>
        <w:spacing w:before="0" w:beforeAutospacing="0" w:after="0" w:afterAutospacing="0" w:line="360" w:lineRule="auto"/>
        <w:ind w:firstLineChars="200" w:firstLine="560"/>
        <w:rPr>
          <w:rFonts w:ascii="仿宋" w:eastAsia="仿宋" w:hAnsi="仿宋" w:cs="仿宋"/>
          <w:sz w:val="28"/>
          <w:szCs w:val="28"/>
        </w:rPr>
      </w:pPr>
      <w:r>
        <w:rPr>
          <w:rFonts w:ascii="仿宋" w:eastAsia="仿宋" w:hAnsi="仿宋" w:cs="仿宋" w:hint="eastAsia"/>
          <w:sz w:val="28"/>
          <w:szCs w:val="28"/>
        </w:rPr>
        <w:t>脱氢乙酸及其钠盐作为一种广谱食品防腐剂，毒性较低，对霉菌、酵母和细菌有较好的抑制作用。《食品安全国家标准</w:t>
      </w:r>
      <w:r>
        <w:rPr>
          <w:rFonts w:ascii="仿宋" w:eastAsia="仿宋" w:hAnsi="仿宋" w:cs="仿宋" w:hint="eastAsia"/>
          <w:sz w:val="28"/>
          <w:szCs w:val="28"/>
        </w:rPr>
        <w:t xml:space="preserve"> </w:t>
      </w:r>
      <w:r>
        <w:rPr>
          <w:rFonts w:ascii="仿宋" w:eastAsia="仿宋" w:hAnsi="仿宋" w:cs="仿宋" w:hint="eastAsia"/>
          <w:sz w:val="28"/>
          <w:szCs w:val="28"/>
        </w:rPr>
        <w:t>食品添加剂使用标准》（</w:t>
      </w:r>
      <w:r>
        <w:rPr>
          <w:rFonts w:ascii="仿宋" w:eastAsia="仿宋" w:hAnsi="仿宋" w:cs="仿宋" w:hint="eastAsia"/>
          <w:sz w:val="28"/>
          <w:szCs w:val="28"/>
        </w:rPr>
        <w:t>GB 2760</w:t>
      </w:r>
      <w:r>
        <w:rPr>
          <w:rFonts w:ascii="仿宋" w:eastAsia="仿宋" w:hAnsi="仿宋" w:cs="仿宋" w:hint="eastAsia"/>
          <w:sz w:val="28"/>
          <w:szCs w:val="28"/>
        </w:rPr>
        <w:t>—</w:t>
      </w:r>
      <w:r>
        <w:rPr>
          <w:rFonts w:ascii="仿宋" w:eastAsia="仿宋" w:hAnsi="仿宋" w:cs="仿宋" w:hint="eastAsia"/>
          <w:sz w:val="28"/>
          <w:szCs w:val="28"/>
        </w:rPr>
        <w:t>2014</w:t>
      </w:r>
      <w:r>
        <w:rPr>
          <w:rFonts w:ascii="仿宋" w:eastAsia="仿宋" w:hAnsi="仿宋" w:cs="仿宋" w:hint="eastAsia"/>
          <w:sz w:val="28"/>
          <w:szCs w:val="28"/>
        </w:rPr>
        <w:t>）中规定，水产制品中使用脱氢乙酸及其钠盐（以脱氢乙酸计）限量值为</w:t>
      </w:r>
      <w:r>
        <w:rPr>
          <w:rFonts w:ascii="仿宋" w:eastAsia="仿宋" w:hAnsi="仿宋" w:cs="仿宋" w:hint="eastAsia"/>
          <w:sz w:val="28"/>
          <w:szCs w:val="28"/>
        </w:rPr>
        <w:t>0.3g/kg</w:t>
      </w:r>
      <w:r>
        <w:rPr>
          <w:rFonts w:ascii="仿宋" w:eastAsia="仿宋" w:hAnsi="仿宋" w:cs="仿宋" w:hint="eastAsia"/>
          <w:sz w:val="28"/>
          <w:szCs w:val="28"/>
        </w:rPr>
        <w:t>。造成脱氢乙酸超标的原因，可能是个别企业为防止食品腐败变质，超范围使用该添加剂，或者其使用的复配添加剂中该添加剂含量较高。</w:t>
      </w:r>
    </w:p>
    <w:p w14:paraId="3D8953B7" w14:textId="77777777" w:rsidR="001B6036" w:rsidRDefault="007F549A">
      <w:pPr>
        <w:pStyle w:val="a7"/>
        <w:spacing w:before="0" w:beforeAutospacing="0" w:after="0" w:afterAutospacing="0" w:line="360" w:lineRule="auto"/>
        <w:rPr>
          <w:rFonts w:ascii="仿宋" w:eastAsia="仿宋" w:hAnsi="仿宋" w:cs="仿宋"/>
          <w:b/>
          <w:bCs/>
          <w:sz w:val="32"/>
          <w:szCs w:val="32"/>
          <w:shd w:val="clear" w:color="auto" w:fill="FFFFFF"/>
          <w:lang w:bidi="ar"/>
        </w:rPr>
      </w:pPr>
      <w:r>
        <w:rPr>
          <w:rFonts w:ascii="仿宋" w:eastAsia="仿宋" w:hAnsi="仿宋" w:cs="仿宋" w:hint="eastAsia"/>
          <w:b/>
          <w:bCs/>
          <w:sz w:val="32"/>
          <w:szCs w:val="32"/>
          <w:shd w:val="clear" w:color="auto" w:fill="FFFFFF"/>
          <w:lang w:bidi="ar"/>
        </w:rPr>
        <w:t>防腐剂混合使用时各自用量占其最大使用量的比例之和</w:t>
      </w:r>
    </w:p>
    <w:p w14:paraId="585D6DFE" w14:textId="77777777" w:rsidR="001B6036" w:rsidRDefault="007F549A">
      <w:pPr>
        <w:pStyle w:val="a7"/>
        <w:spacing w:before="0" w:beforeAutospacing="0" w:after="0" w:afterAutospacing="0" w:line="360" w:lineRule="auto"/>
        <w:ind w:firstLineChars="200" w:firstLine="560"/>
        <w:rPr>
          <w:rFonts w:ascii="仿宋" w:eastAsia="仿宋" w:hAnsi="仿宋" w:cs="仿宋"/>
          <w:sz w:val="28"/>
          <w:szCs w:val="28"/>
        </w:rPr>
      </w:pPr>
      <w:r>
        <w:rPr>
          <w:rFonts w:ascii="仿宋" w:eastAsia="仿宋" w:hAnsi="仿宋" w:cs="仿宋" w:hint="eastAsia"/>
          <w:sz w:val="28"/>
          <w:szCs w:val="28"/>
        </w:rPr>
        <w:t>生产企业对生产过程把控不严，为达到防腐效果，超限量使用多种防腐剂；生产企业在添加防腐剂时只注意到单项防腐剂的</w:t>
      </w:r>
      <w:r>
        <w:rPr>
          <w:rFonts w:ascii="仿宋" w:eastAsia="仿宋" w:hAnsi="仿宋" w:cs="仿宋" w:hint="eastAsia"/>
          <w:sz w:val="28"/>
          <w:szCs w:val="28"/>
        </w:rPr>
        <w:t>最大添加限量值，而没考虑防腐剂比例之和。</w:t>
      </w:r>
    </w:p>
    <w:sectPr w:rsidR="001B6036">
      <w:footerReference w:type="even" r:id="rId7"/>
      <w:footerReference w:type="default" r:id="rId8"/>
      <w:pgSz w:w="11906" w:h="16838"/>
      <w:pgMar w:top="1701" w:right="1474" w:bottom="1440"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E25176" w14:textId="77777777" w:rsidR="007F549A" w:rsidRDefault="007F549A">
      <w:r>
        <w:separator/>
      </w:r>
    </w:p>
  </w:endnote>
  <w:endnote w:type="continuationSeparator" w:id="0">
    <w:p w14:paraId="1862F393" w14:textId="77777777" w:rsidR="007F549A" w:rsidRDefault="007F5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0B8EE" w14:textId="77777777" w:rsidR="001B6036" w:rsidRDefault="007F549A">
    <w:pPr>
      <w:pStyle w:val="a4"/>
      <w:ind w:right="360" w:firstLine="360"/>
    </w:pPr>
    <w:r>
      <w:rPr>
        <w:noProof/>
      </w:rPr>
      <mc:AlternateContent>
        <mc:Choice Requires="wps">
          <w:drawing>
            <wp:anchor distT="0" distB="0" distL="114300" distR="114300" simplePos="0" relativeHeight="251659264" behindDoc="0" locked="0" layoutInCell="1" allowOverlap="1" wp14:anchorId="51581EB3" wp14:editId="3C9EA2AD">
              <wp:simplePos x="0" y="0"/>
              <wp:positionH relativeFrom="margin">
                <wp:align>outside</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2CD3A509" w14:textId="77777777" w:rsidR="001B6036" w:rsidRDefault="007F549A">
                          <w:pPr>
                            <w:pStyle w:val="a4"/>
                          </w:pPr>
                          <w:r>
                            <w:fldChar w:fldCharType="begin"/>
                          </w:r>
                          <w:r>
                            <w:instrText xml:space="preserve">PAGE  </w:instrText>
                          </w:r>
                          <w:r>
                            <w:fldChar w:fldCharType="separate"/>
                          </w:r>
                          <w:r>
                            <w:t>44</w:t>
                          </w:r>
                          <w:r>
                            <w:fldChar w:fldCharType="end"/>
                          </w:r>
                        </w:p>
                      </w:txbxContent>
                    </wps:txbx>
                    <wps:bodyPr wrap="none" lIns="0" tIns="0" rIns="0" bIns="0" upright="1">
                      <a:spAutoFit/>
                    </wps:bodyPr>
                  </wps:wsp>
                </a:graphicData>
              </a:graphic>
            </wp:anchor>
          </w:drawing>
        </mc:Choice>
        <mc:Fallback>
          <w:pict>
            <v:shapetype w14:anchorId="51581EB3" id="_x0000_t202" coordsize="21600,21600" o:spt="202" path="m,l,21600r21600,l21600,xe">
              <v:stroke joinstyle="miter"/>
              <v:path gradientshapeok="t" o:connecttype="rect"/>
            </v:shapetype>
            <v:shape id="文本框 4"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" filled="f" stroked="f">
              <v:textbox style="mso-fit-shape-to-text:t" inset="0,0,0,0">
                <w:txbxContent>
                  <w:p w14:paraId="2CD3A509" w14:textId="77777777" w:rsidR="001B6036" w:rsidRDefault="007F549A">
                    <w:pPr>
                      <w:pStyle w:val="a4"/>
                    </w:pPr>
                    <w:r>
                      <w:fldChar w:fldCharType="begin"/>
                    </w:r>
                    <w:r>
                      <w:instrText xml:space="preserve">PAGE  </w:instrText>
                    </w:r>
                    <w:r>
                      <w:fldChar w:fldCharType="separate"/>
                    </w:r>
                    <w:r>
                      <w:t>44</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B53FE2" w14:textId="77777777" w:rsidR="001B6036" w:rsidRDefault="001B6036">
    <w:pPr>
      <w:pStyle w:val="a4"/>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2B133A" w14:textId="77777777" w:rsidR="007F549A" w:rsidRDefault="007F549A">
      <w:r>
        <w:separator/>
      </w:r>
    </w:p>
  </w:footnote>
  <w:footnote w:type="continuationSeparator" w:id="0">
    <w:p w14:paraId="5C3D67F3" w14:textId="77777777" w:rsidR="007F549A" w:rsidRDefault="007F54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jQzZDg2N2U3YzkzYTZiNzkyNGRmNTk2Y2Q1NmQ0Y2QifQ=="/>
  </w:docVars>
  <w:rsids>
    <w:rsidRoot w:val="50251217"/>
    <w:rsid w:val="00042EA7"/>
    <w:rsid w:val="0009330C"/>
    <w:rsid w:val="0011353F"/>
    <w:rsid w:val="00127150"/>
    <w:rsid w:val="001352BE"/>
    <w:rsid w:val="001B6036"/>
    <w:rsid w:val="001F52DC"/>
    <w:rsid w:val="002B7887"/>
    <w:rsid w:val="00327623"/>
    <w:rsid w:val="00341E60"/>
    <w:rsid w:val="003F4D36"/>
    <w:rsid w:val="00490FD6"/>
    <w:rsid w:val="004E1986"/>
    <w:rsid w:val="00506A47"/>
    <w:rsid w:val="00513A65"/>
    <w:rsid w:val="005768A0"/>
    <w:rsid w:val="006322FE"/>
    <w:rsid w:val="00663058"/>
    <w:rsid w:val="007F549A"/>
    <w:rsid w:val="008062F2"/>
    <w:rsid w:val="008424C2"/>
    <w:rsid w:val="00AD08B1"/>
    <w:rsid w:val="00AD6DEA"/>
    <w:rsid w:val="00B50969"/>
    <w:rsid w:val="00C51761"/>
    <w:rsid w:val="00CB02DB"/>
    <w:rsid w:val="00CD5A92"/>
    <w:rsid w:val="00D07BD1"/>
    <w:rsid w:val="00DF1AD7"/>
    <w:rsid w:val="00F86406"/>
    <w:rsid w:val="00FD6984"/>
    <w:rsid w:val="012A350B"/>
    <w:rsid w:val="019D7A35"/>
    <w:rsid w:val="02867E41"/>
    <w:rsid w:val="02C55D7F"/>
    <w:rsid w:val="02F241BE"/>
    <w:rsid w:val="04E13310"/>
    <w:rsid w:val="092C4AFF"/>
    <w:rsid w:val="09FD7970"/>
    <w:rsid w:val="0D244780"/>
    <w:rsid w:val="0D485F3F"/>
    <w:rsid w:val="0DAD283C"/>
    <w:rsid w:val="0FEF7285"/>
    <w:rsid w:val="120633CA"/>
    <w:rsid w:val="1586463E"/>
    <w:rsid w:val="16EF4AC1"/>
    <w:rsid w:val="199B54BB"/>
    <w:rsid w:val="1A30795F"/>
    <w:rsid w:val="1A3F0176"/>
    <w:rsid w:val="1B54713D"/>
    <w:rsid w:val="21E87D78"/>
    <w:rsid w:val="238166D6"/>
    <w:rsid w:val="25347E29"/>
    <w:rsid w:val="253669DA"/>
    <w:rsid w:val="255D2F0C"/>
    <w:rsid w:val="26DC1B93"/>
    <w:rsid w:val="29E86202"/>
    <w:rsid w:val="2C026ADB"/>
    <w:rsid w:val="2E810EF0"/>
    <w:rsid w:val="2EBF4557"/>
    <w:rsid w:val="33C33DFE"/>
    <w:rsid w:val="350E67DD"/>
    <w:rsid w:val="35AD4CA0"/>
    <w:rsid w:val="37F61D15"/>
    <w:rsid w:val="3BF33A92"/>
    <w:rsid w:val="40CB0CAD"/>
    <w:rsid w:val="42502180"/>
    <w:rsid w:val="43D309EF"/>
    <w:rsid w:val="467A09FE"/>
    <w:rsid w:val="46863E7D"/>
    <w:rsid w:val="47D04DB1"/>
    <w:rsid w:val="48543305"/>
    <w:rsid w:val="495E7D08"/>
    <w:rsid w:val="496E39C3"/>
    <w:rsid w:val="4A766ED9"/>
    <w:rsid w:val="4B0B4954"/>
    <w:rsid w:val="4B7E521D"/>
    <w:rsid w:val="4BAD1545"/>
    <w:rsid w:val="4E1E1B72"/>
    <w:rsid w:val="4EA65403"/>
    <w:rsid w:val="501F0259"/>
    <w:rsid w:val="50251217"/>
    <w:rsid w:val="50CC68E4"/>
    <w:rsid w:val="515B3813"/>
    <w:rsid w:val="53CB4851"/>
    <w:rsid w:val="558964D6"/>
    <w:rsid w:val="56A65531"/>
    <w:rsid w:val="56B85264"/>
    <w:rsid w:val="58135A48"/>
    <w:rsid w:val="58FF25A8"/>
    <w:rsid w:val="5B3F7472"/>
    <w:rsid w:val="6082046E"/>
    <w:rsid w:val="60A045C4"/>
    <w:rsid w:val="63974C7A"/>
    <w:rsid w:val="65917FB1"/>
    <w:rsid w:val="65B65064"/>
    <w:rsid w:val="67BC540F"/>
    <w:rsid w:val="67C577E1"/>
    <w:rsid w:val="69676F39"/>
    <w:rsid w:val="6C903A7C"/>
    <w:rsid w:val="6F4359E9"/>
    <w:rsid w:val="70110FED"/>
    <w:rsid w:val="72B56FB2"/>
    <w:rsid w:val="741E2752"/>
    <w:rsid w:val="75C20495"/>
    <w:rsid w:val="76544B51"/>
    <w:rsid w:val="76633230"/>
    <w:rsid w:val="77FB4F01"/>
    <w:rsid w:val="786422F9"/>
    <w:rsid w:val="78F053E4"/>
    <w:rsid w:val="7C3A20F4"/>
    <w:rsid w:val="7D8F6D5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3219C9"/>
  <w15:docId w15:val="{A0789B6F-2446-4DCB-8454-FE510DE30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Body Text"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Preformatted"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eastAsiaTheme="minorEastAsia" w:cstheme="minorBid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eastAsia="微软雅黑" w:hAnsi="微软雅黑" w:cs="宋体"/>
      <w:kern w:val="0"/>
      <w:sz w:val="24"/>
      <w:szCs w:val="24"/>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1"/>
    <w:uiPriority w:val="99"/>
    <w:unhideWhenUsed/>
    <w:qFormat/>
    <w:rPr>
      <w:color w:val="656565"/>
      <w:u w:val="none"/>
    </w:rPr>
  </w:style>
  <w:style w:type="character" w:customStyle="1" w:styleId="a6">
    <w:name w:val="页眉 字符"/>
    <w:basedOn w:val="a1"/>
    <w:link w:val="a5"/>
    <w:qFormat/>
    <w:rPr>
      <w:rFonts w:ascii="Times New Roman" w:hAnsi="Times New Roman"/>
      <w:kern w:val="2"/>
      <w:sz w:val="18"/>
      <w:szCs w:val="18"/>
    </w:rPr>
  </w:style>
  <w:style w:type="paragraph" w:styleId="a9">
    <w:name w:val="List Paragraph"/>
    <w:basedOn w:val="a"/>
    <w:uiPriority w:val="99"/>
    <w:unhideWhenUsed/>
    <w:qFormat/>
    <w:pPr>
      <w:ind w:firstLineChars="200" w:firstLine="420"/>
    </w:pPr>
  </w:style>
  <w:style w:type="character" w:customStyle="1" w:styleId="HTML0">
    <w:name w:val="HTML 预设格式 字符"/>
    <w:basedOn w:val="a1"/>
    <w:link w:val="HTML"/>
    <w:uiPriority w:val="99"/>
    <w:qFormat/>
    <w:rPr>
      <w:rFonts w:ascii="微软雅黑" w:eastAsia="微软雅黑" w:hAnsi="微软雅黑"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165</Words>
  <Characters>942</Characters>
  <Application>Microsoft Office Word</Application>
  <DocSecurity>0</DocSecurity>
  <Lines>7</Lines>
  <Paragraphs>2</Paragraphs>
  <ScaleCrop>false</ScaleCrop>
  <Company/>
  <LinksUpToDate>false</LinksUpToDate>
  <CharactersWithSpaces>1105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小烦</dc:creator>
  <cp:lastModifiedBy>yunfeng</cp:lastModifiedBy>
  <cp:revision>2</cp:revision>
  <dcterms:created xsi:type="dcterms:W3CDTF">2023-03-28T07:54:00Z</dcterms:created>
  <dcterms:modified xsi:type="dcterms:W3CDTF">2023-03-28T07:54:00Z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A800C5A9AD91409AB51AC4EA84984B60</vt:lpwstr>
  </property>
</Properties>
</file>